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Default="00866025" w:rsidP="00BC69D8">
      <w:pPr>
        <w:pStyle w:val="Header"/>
        <w:tabs>
          <w:tab w:val="left" w:pos="9000"/>
        </w:tabs>
        <w:rPr>
          <w:b/>
          <w:color w:val="00214E"/>
          <w:sz w:val="36"/>
          <w:szCs w:val="36"/>
          <w:lang w:val="ro-RO"/>
        </w:rPr>
      </w:pPr>
      <w:r w:rsidRPr="00866025">
        <w:rPr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8" o:title=""/>
          </v:shape>
          <o:OLEObject Type="Embed" ProgID="CorelDRAW.Graphic.13" ShapeID="_x0000_s1088" DrawAspect="Content" ObjectID="_1647421939" r:id="rId9"/>
        </w:pict>
      </w:r>
      <w:r w:rsidR="008511F7">
        <w:rPr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E757D2">
        <w:rPr>
          <w:b/>
          <w:sz w:val="28"/>
          <w:szCs w:val="28"/>
          <w:lang w:val="it-IT"/>
        </w:rPr>
        <w:t>Ministerul Mediului</w:t>
      </w:r>
      <w:r w:rsidR="007308CE" w:rsidRPr="00B35674">
        <w:rPr>
          <w:b/>
          <w:color w:val="00214E"/>
          <w:sz w:val="28"/>
          <w:szCs w:val="28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B15CC8" w:rsidRDefault="00B15CC8" w:rsidP="007949B2">
      <w:pPr>
        <w:pStyle w:val="Heading1"/>
        <w:spacing w:after="120"/>
        <w:rPr>
          <w:rFonts w:ascii="Arial" w:hAnsi="Arial" w:cs="Arial"/>
          <w:szCs w:val="28"/>
        </w:rPr>
      </w:pPr>
    </w:p>
    <w:p w:rsidR="00B15CC8" w:rsidRPr="00B15CC8" w:rsidRDefault="00B05FA3" w:rsidP="00B15CC8">
      <w:pPr>
        <w:rPr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  <w:t xml:space="preserve">           DRAFT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112CD5" w:rsidP="00112CD5">
      <w:pPr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</w:t>
      </w:r>
      <w:r w:rsidR="007949B2"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B61AC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15C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05FA3">
        <w:rPr>
          <w:rFonts w:ascii="Arial" w:hAnsi="Arial" w:cs="Arial"/>
          <w:b/>
          <w:sz w:val="28"/>
          <w:szCs w:val="28"/>
          <w:lang w:val="ro-RO"/>
        </w:rPr>
        <w:t>.....</w:t>
      </w:r>
      <w:r w:rsidR="00B15C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din 03</w:t>
      </w:r>
      <w:r w:rsidR="00B05FA3">
        <w:rPr>
          <w:rFonts w:ascii="Arial" w:hAnsi="Arial" w:cs="Arial"/>
          <w:b/>
          <w:sz w:val="28"/>
          <w:szCs w:val="28"/>
          <w:lang w:val="ro-RO"/>
        </w:rPr>
        <w:t>.</w:t>
      </w:r>
      <w:r w:rsidR="00172E35">
        <w:rPr>
          <w:rFonts w:ascii="Arial" w:hAnsi="Arial" w:cs="Arial"/>
          <w:b/>
          <w:sz w:val="28"/>
          <w:szCs w:val="28"/>
          <w:lang w:val="ro-RO"/>
        </w:rPr>
        <w:t>0</w:t>
      </w:r>
      <w:r w:rsidR="00B05FA3">
        <w:rPr>
          <w:rFonts w:ascii="Arial" w:hAnsi="Arial" w:cs="Arial"/>
          <w:b/>
          <w:sz w:val="28"/>
          <w:szCs w:val="28"/>
          <w:lang w:val="ro-RO"/>
        </w:rPr>
        <w:t>4</w:t>
      </w:r>
      <w:r w:rsidR="00D963EC">
        <w:rPr>
          <w:rFonts w:ascii="Arial" w:hAnsi="Arial" w:cs="Arial"/>
          <w:b/>
          <w:sz w:val="28"/>
          <w:szCs w:val="28"/>
          <w:lang w:val="ro-RO"/>
        </w:rPr>
        <w:t>.20</w:t>
      </w:r>
      <w:r w:rsidR="00172E35">
        <w:rPr>
          <w:rFonts w:ascii="Arial" w:hAnsi="Arial" w:cs="Arial"/>
          <w:b/>
          <w:sz w:val="28"/>
          <w:szCs w:val="28"/>
          <w:lang w:val="ro-RO"/>
        </w:rPr>
        <w:t>20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15CC8" w:rsidRDefault="00B15CC8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Pr="00895FD6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 xml:space="preserve">Ca urmare a </w:t>
      </w:r>
      <w:r w:rsidR="00B475C5" w:rsidRPr="00895FD6">
        <w:rPr>
          <w:rFonts w:ascii="Arial" w:hAnsi="Arial" w:cs="Arial"/>
        </w:rPr>
        <w:t>solicitării de emitere a acordului de mediu adresată de</w:t>
      </w:r>
      <w:r w:rsidR="00AA5C3D" w:rsidRPr="00895FD6">
        <w:rPr>
          <w:rFonts w:ascii="Arial" w:hAnsi="Arial" w:cs="Arial"/>
        </w:rPr>
        <w:t xml:space="preserve"> </w:t>
      </w:r>
      <w:r w:rsidR="00804D33" w:rsidRPr="00081682">
        <w:rPr>
          <w:rFonts w:ascii="Arial" w:hAnsi="Arial" w:cs="Arial"/>
          <w:b/>
        </w:rPr>
        <w:t>S.C. AGROINDAF AFUMATI S.A. Reprez. DAVITOIU CLAUDIU MIHAI</w:t>
      </w:r>
      <w:r w:rsidR="00B475C5" w:rsidRPr="00895FD6">
        <w:rPr>
          <w:rFonts w:ascii="Arial" w:hAnsi="Arial" w:cs="Arial"/>
          <w:b/>
        </w:rPr>
        <w:t xml:space="preserve">, </w:t>
      </w:r>
      <w:r w:rsidR="00B475C5" w:rsidRPr="00895FD6">
        <w:rPr>
          <w:rFonts w:ascii="Arial" w:hAnsi="Arial" w:cs="Arial"/>
          <w:lang w:val="ro-RO"/>
        </w:rPr>
        <w:t xml:space="preserve">cu </w:t>
      </w:r>
      <w:r w:rsidR="00B7687A" w:rsidRPr="00895FD6">
        <w:rPr>
          <w:rFonts w:ascii="Arial" w:hAnsi="Arial" w:cs="Arial"/>
          <w:lang w:val="ro-RO"/>
        </w:rPr>
        <w:t>sedi</w:t>
      </w:r>
      <w:r w:rsidR="00CC11DE" w:rsidRPr="00895FD6">
        <w:rPr>
          <w:rFonts w:ascii="Arial" w:hAnsi="Arial" w:cs="Arial"/>
          <w:lang w:val="ro-RO"/>
        </w:rPr>
        <w:t>ul</w:t>
      </w:r>
      <w:r w:rsidR="00AA5C3D" w:rsidRPr="00895FD6">
        <w:rPr>
          <w:rFonts w:ascii="Arial" w:hAnsi="Arial" w:cs="Arial"/>
          <w:lang w:val="ro-RO"/>
        </w:rPr>
        <w:t xml:space="preserve"> în </w:t>
      </w:r>
      <w:r w:rsidR="00895FD6" w:rsidRPr="00895FD6">
        <w:rPr>
          <w:rFonts w:ascii="Arial" w:hAnsi="Arial" w:cs="Arial"/>
        </w:rPr>
        <w:t xml:space="preserve">cu sediul în </w:t>
      </w:r>
      <w:r w:rsidR="00804D33">
        <w:rPr>
          <w:rFonts w:ascii="Arial" w:hAnsi="Arial" w:cs="Arial"/>
        </w:rPr>
        <w:t>Comuna Afumati, strada Sos. Stefanesti nr. 57, judetul Ilfov,</w:t>
      </w:r>
      <w:r w:rsidR="00895FD6" w:rsidRPr="00895FD6">
        <w:rPr>
          <w:rFonts w:ascii="Arial" w:hAnsi="Arial" w:cs="Arial"/>
        </w:rPr>
        <w:t xml:space="preserve"> pentru proiectul</w:t>
      </w:r>
      <w:r w:rsidR="00AA5C3D" w:rsidRPr="00895FD6">
        <w:rPr>
          <w:rFonts w:ascii="Arial" w:hAnsi="Arial" w:cs="Arial"/>
          <w:lang w:val="ro-RO"/>
        </w:rPr>
        <w:t>,</w:t>
      </w:r>
      <w:r w:rsidR="007A295B" w:rsidRPr="00895FD6">
        <w:rPr>
          <w:rFonts w:ascii="Arial" w:hAnsi="Arial" w:cs="Arial"/>
          <w:lang w:val="ro-RO"/>
        </w:rPr>
        <w:t xml:space="preserve"> </w:t>
      </w:r>
      <w:r w:rsidR="00B475C5" w:rsidRPr="00895FD6">
        <w:rPr>
          <w:rFonts w:ascii="Arial" w:hAnsi="Arial" w:cs="Arial"/>
        </w:rPr>
        <w:t xml:space="preserve">înregistrată la A.P.M. Ilfov cu nr. </w:t>
      </w:r>
      <w:r w:rsidR="00CC11DE" w:rsidRPr="00895FD6">
        <w:rPr>
          <w:rFonts w:ascii="Arial" w:hAnsi="Arial" w:cs="Arial"/>
        </w:rPr>
        <w:t>1</w:t>
      </w:r>
      <w:r w:rsidR="00B05FA3">
        <w:rPr>
          <w:rFonts w:ascii="Arial" w:hAnsi="Arial" w:cs="Arial"/>
        </w:rPr>
        <w:t>8</w:t>
      </w:r>
      <w:r w:rsidR="00804D33">
        <w:rPr>
          <w:rFonts w:ascii="Arial" w:hAnsi="Arial" w:cs="Arial"/>
        </w:rPr>
        <w:t>735</w:t>
      </w:r>
      <w:r w:rsidR="000E2C3D" w:rsidRPr="00895FD6">
        <w:rPr>
          <w:rFonts w:ascii="Arial" w:hAnsi="Arial" w:cs="Arial"/>
        </w:rPr>
        <w:t xml:space="preserve"> </w:t>
      </w:r>
      <w:r w:rsidR="00B475C5" w:rsidRPr="00895FD6">
        <w:rPr>
          <w:rFonts w:ascii="Arial" w:hAnsi="Arial" w:cs="Arial"/>
        </w:rPr>
        <w:t xml:space="preserve">din </w:t>
      </w:r>
      <w:r w:rsidR="00895FD6">
        <w:rPr>
          <w:rFonts w:ascii="Arial" w:hAnsi="Arial" w:cs="Arial"/>
        </w:rPr>
        <w:t>0</w:t>
      </w:r>
      <w:r w:rsidR="00804D33">
        <w:rPr>
          <w:rFonts w:ascii="Arial" w:hAnsi="Arial" w:cs="Arial"/>
        </w:rPr>
        <w:t>7</w:t>
      </w:r>
      <w:r w:rsidR="000E2C3D" w:rsidRPr="00895FD6">
        <w:rPr>
          <w:rFonts w:ascii="Arial" w:hAnsi="Arial" w:cs="Arial"/>
        </w:rPr>
        <w:t>.</w:t>
      </w:r>
      <w:r w:rsidR="00804D33">
        <w:rPr>
          <w:rFonts w:ascii="Arial" w:hAnsi="Arial" w:cs="Arial"/>
        </w:rPr>
        <w:t>1</w:t>
      </w:r>
      <w:r w:rsidR="00567334" w:rsidRPr="00895FD6">
        <w:rPr>
          <w:rFonts w:ascii="Arial" w:hAnsi="Arial" w:cs="Arial"/>
        </w:rPr>
        <w:t>0</w:t>
      </w:r>
      <w:r w:rsidR="00885B30" w:rsidRPr="00895FD6">
        <w:rPr>
          <w:rFonts w:ascii="Arial" w:hAnsi="Arial" w:cs="Arial"/>
        </w:rPr>
        <w:t>.201</w:t>
      </w:r>
      <w:r w:rsidR="00567334" w:rsidRPr="00895FD6">
        <w:rPr>
          <w:rFonts w:ascii="Arial" w:hAnsi="Arial" w:cs="Arial"/>
        </w:rPr>
        <w:t>9</w:t>
      </w:r>
      <w:r w:rsidR="00885B30" w:rsidRPr="00895FD6">
        <w:rPr>
          <w:rFonts w:ascii="Arial" w:hAnsi="Arial" w:cs="Arial"/>
        </w:rPr>
        <w:t xml:space="preserve"> si a completarilor ulterilor</w:t>
      </w:r>
      <w:r w:rsidR="00B475C5" w:rsidRPr="00895FD6">
        <w:rPr>
          <w:rFonts w:ascii="Arial" w:hAnsi="Arial" w:cs="Arial"/>
        </w:rPr>
        <w:t xml:space="preserve">, </w:t>
      </w:r>
      <w:r w:rsidR="00B475C5" w:rsidRPr="00895FD6">
        <w:rPr>
          <w:rFonts w:ascii="Arial" w:hAnsi="Arial" w:cs="Arial"/>
          <w:lang w:val="it-IT"/>
        </w:rPr>
        <w:t>în baza: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B05FA3">
        <w:rPr>
          <w:rFonts w:ascii="Arial" w:hAnsi="Arial" w:cs="Arial"/>
          <w:lang w:val="it-IT"/>
        </w:rPr>
        <w:t>01</w:t>
      </w:r>
      <w:r w:rsidR="00F712B5">
        <w:rPr>
          <w:rFonts w:ascii="Arial" w:hAnsi="Arial" w:cs="Arial"/>
          <w:lang w:val="it-IT"/>
        </w:rPr>
        <w:t>.</w:t>
      </w:r>
      <w:r w:rsidR="00C85973">
        <w:rPr>
          <w:rFonts w:ascii="Arial" w:hAnsi="Arial" w:cs="Arial"/>
          <w:lang w:val="it-IT"/>
        </w:rPr>
        <w:t>0</w:t>
      </w:r>
      <w:r w:rsidR="00B05FA3">
        <w:rPr>
          <w:rFonts w:ascii="Arial" w:hAnsi="Arial" w:cs="Arial"/>
          <w:lang w:val="it-IT"/>
        </w:rPr>
        <w:t>4</w:t>
      </w:r>
      <w:r w:rsidRPr="00567F80">
        <w:rPr>
          <w:rFonts w:ascii="Arial" w:hAnsi="Arial" w:cs="Arial"/>
          <w:lang w:val="it-IT"/>
        </w:rPr>
        <w:t>.20</w:t>
      </w:r>
      <w:r w:rsidR="00C85973">
        <w:rPr>
          <w:rFonts w:ascii="Arial" w:hAnsi="Arial" w:cs="Arial"/>
          <w:lang w:val="it-IT"/>
        </w:rPr>
        <w:t>20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C72188">
        <w:rPr>
          <w:rFonts w:ascii="Arial" w:hAnsi="Arial" w:cs="Arial"/>
          <w:i/>
        </w:rPr>
        <w:t>„</w:t>
      </w:r>
      <w:r w:rsidR="00804D33">
        <w:rPr>
          <w:rFonts w:ascii="Arial" w:hAnsi="Arial" w:cs="Arial"/>
          <w:b/>
        </w:rPr>
        <w:t>Reabilitare baraj si modernizare descarcator ape mari la amanejarea</w:t>
      </w:r>
      <w:r w:rsidR="006216D0">
        <w:rPr>
          <w:rFonts w:ascii="Arial" w:hAnsi="Arial" w:cs="Arial"/>
          <w:b/>
        </w:rPr>
        <w:t xml:space="preserve"> piscicola Afumati II amplasata pe Raul Pasarea, bazin hidrologic Arges in comuna Afumati, judetul Ilfov</w:t>
      </w:r>
      <w:r w:rsidR="00B05FA3">
        <w:rPr>
          <w:rFonts w:ascii="Arial" w:hAnsi="Arial" w:cs="Arial"/>
          <w:b/>
        </w:rPr>
        <w:t>”</w:t>
      </w:r>
      <w:r w:rsidR="00567334" w:rsidRPr="00567334">
        <w:rPr>
          <w:rFonts w:ascii="Arial" w:hAnsi="Arial" w:cs="Arial"/>
        </w:rPr>
        <w:t xml:space="preserve"> propus a fi amplasat în judeţul Ilfov, </w:t>
      </w:r>
      <w:r w:rsidR="00700EF1">
        <w:rPr>
          <w:rFonts w:ascii="Arial" w:hAnsi="Arial" w:cs="Arial"/>
          <w:lang w:val="ro-RO"/>
        </w:rPr>
        <w:t>Comuna Afumati</w:t>
      </w:r>
      <w:r w:rsidR="00B05FA3">
        <w:rPr>
          <w:rFonts w:ascii="Arial" w:hAnsi="Arial" w:cs="Arial"/>
          <w:lang w:val="ro-RO"/>
        </w:rPr>
        <w:t>,</w:t>
      </w:r>
      <w:r w:rsidR="00700EF1">
        <w:rPr>
          <w:rFonts w:ascii="Arial" w:hAnsi="Arial" w:cs="Arial"/>
          <w:lang w:val="ro-RO"/>
        </w:rPr>
        <w:t xml:space="preserve"> Balta Pasarea Afumati II, judetul Ilfov,</w:t>
      </w:r>
      <w:r w:rsidR="007916A8">
        <w:rPr>
          <w:rFonts w:ascii="Arial" w:hAnsi="Arial" w:cs="Arial"/>
          <w:lang w:val="ro-RO"/>
        </w:rPr>
        <w:t xml:space="preserve">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633F70">
        <w:rPr>
          <w:rFonts w:ascii="Arial" w:hAnsi="Arial" w:cs="Arial"/>
        </w:rPr>
        <w:t>a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1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2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lastRenderedPageBreak/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1.1Descrierea proiectului:</w:t>
      </w:r>
    </w:p>
    <w:p w:rsidR="00A42A56" w:rsidRDefault="00A42A56" w:rsidP="00103CF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03CF6" w:rsidRPr="00A42A56" w:rsidRDefault="00A42A56" w:rsidP="00103CF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D1091" w:rsidRPr="00A42A56">
        <w:rPr>
          <w:rFonts w:ascii="Arial" w:hAnsi="Arial" w:cs="Arial"/>
          <w:b/>
          <w:i/>
          <w:sz w:val="24"/>
          <w:szCs w:val="24"/>
        </w:rPr>
        <w:t xml:space="preserve"> </w:t>
      </w:r>
      <w:r w:rsidR="00ED1091" w:rsidRPr="00A42A56">
        <w:rPr>
          <w:rFonts w:ascii="Arial" w:hAnsi="Arial" w:cs="Arial"/>
          <w:b/>
          <w:i/>
          <w:sz w:val="24"/>
          <w:szCs w:val="24"/>
          <w:u w:val="single"/>
        </w:rPr>
        <w:t>Re</w:t>
      </w:r>
      <w:r w:rsidR="00103CF6" w:rsidRPr="00A42A56">
        <w:rPr>
          <w:rFonts w:ascii="Arial" w:hAnsi="Arial" w:cs="Arial"/>
          <w:b/>
          <w:i/>
          <w:sz w:val="24"/>
          <w:szCs w:val="24"/>
          <w:u w:val="single"/>
        </w:rPr>
        <w:t>abilitarea</w:t>
      </w:r>
      <w:r w:rsidR="00ED1091" w:rsidRPr="00A42A56">
        <w:rPr>
          <w:rFonts w:ascii="Arial" w:hAnsi="Arial" w:cs="Arial"/>
          <w:b/>
          <w:i/>
          <w:sz w:val="24"/>
          <w:szCs w:val="24"/>
          <w:u w:val="single"/>
        </w:rPr>
        <w:t xml:space="preserve"> barajului de pamant </w:t>
      </w:r>
      <w:r w:rsidR="00103CF6" w:rsidRPr="00A42A56">
        <w:rPr>
          <w:rFonts w:ascii="Arial" w:hAnsi="Arial" w:cs="Arial"/>
          <w:b/>
          <w:i/>
          <w:sz w:val="24"/>
          <w:szCs w:val="24"/>
          <w:u w:val="single"/>
        </w:rPr>
        <w:t>de tip omogen, Afumati II</w:t>
      </w:r>
    </w:p>
    <w:p w:rsidR="00ED1091" w:rsidRPr="00A42A56" w:rsidRDefault="00ED1091" w:rsidP="00103CF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>pana la ducerea la urmatorii parametrii tehnici :</w:t>
      </w:r>
    </w:p>
    <w:p w:rsidR="00103CF6" w:rsidRPr="00A42A56" w:rsidRDefault="00ED1091" w:rsidP="00103CF6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-</w:t>
      </w:r>
      <w:r w:rsidR="00103CF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cota coronament 72,85 mdMN75</w:t>
      </w:r>
    </w:p>
    <w:p w:rsidR="00103CF6" w:rsidRPr="00A42A56" w:rsidRDefault="00ED1091" w:rsidP="00103CF6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-</w:t>
      </w:r>
      <w:r w:rsidR="00103CF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inaltime maxima baraj  4,45 m</w:t>
      </w:r>
    </w:p>
    <w:p w:rsidR="00ED1091" w:rsidRPr="00A42A56" w:rsidRDefault="00ED1091" w:rsidP="00103CF6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-</w:t>
      </w:r>
      <w:r w:rsidR="00103CF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latime coronament   4,00 m,</w:t>
      </w:r>
    </w:p>
    <w:p w:rsidR="00ED1091" w:rsidRPr="00A42A56" w:rsidRDefault="00103CF6" w:rsidP="00103CF6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</w:t>
      </w:r>
      <w:r w:rsidR="00ED1091" w:rsidRPr="00A42A56">
        <w:rPr>
          <w:rFonts w:ascii="Arial" w:hAnsi="Arial" w:cs="Arial"/>
          <w:sz w:val="24"/>
          <w:szCs w:val="24"/>
        </w:rPr>
        <w:t xml:space="preserve">  -</w:t>
      </w:r>
      <w:r w:rsidRPr="00A42A56">
        <w:rPr>
          <w:rFonts w:ascii="Arial" w:hAnsi="Arial" w:cs="Arial"/>
          <w:sz w:val="24"/>
          <w:szCs w:val="24"/>
        </w:rPr>
        <w:t xml:space="preserve"> </w:t>
      </w:r>
      <w:r w:rsidR="00ED1091" w:rsidRPr="00A42A56">
        <w:rPr>
          <w:rFonts w:ascii="Arial" w:hAnsi="Arial" w:cs="Arial"/>
          <w:sz w:val="24"/>
          <w:szCs w:val="24"/>
        </w:rPr>
        <w:t>lungime coronament 85,00 m,</w:t>
      </w:r>
    </w:p>
    <w:p w:rsidR="00ED1091" w:rsidRPr="00A42A56" w:rsidRDefault="00103CF6" w:rsidP="00103CF6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</w:t>
      </w:r>
      <w:r w:rsidR="00ED1091" w:rsidRPr="00A42A56">
        <w:rPr>
          <w:rFonts w:ascii="Arial" w:hAnsi="Arial" w:cs="Arial"/>
          <w:sz w:val="24"/>
          <w:szCs w:val="24"/>
        </w:rPr>
        <w:t xml:space="preserve"> -</w:t>
      </w:r>
      <w:r w:rsidRPr="00A42A56">
        <w:rPr>
          <w:rFonts w:ascii="Arial" w:hAnsi="Arial" w:cs="Arial"/>
          <w:sz w:val="24"/>
          <w:szCs w:val="24"/>
        </w:rPr>
        <w:t xml:space="preserve"> </w:t>
      </w:r>
      <w:r w:rsidR="00ED1091" w:rsidRPr="00A42A56">
        <w:rPr>
          <w:rFonts w:ascii="Arial" w:hAnsi="Arial" w:cs="Arial"/>
          <w:sz w:val="24"/>
          <w:szCs w:val="24"/>
        </w:rPr>
        <w:t xml:space="preserve">pante taluze amonte /aval 1:2/ 1:2 </w:t>
      </w:r>
    </w:p>
    <w:p w:rsidR="00ED1091" w:rsidRPr="00A42A56" w:rsidRDefault="00ED1091" w:rsidP="00103CF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>Taluzul amonte al barajului v</w:t>
      </w:r>
      <w:r w:rsidR="00103CF6" w:rsidRPr="00A42A56">
        <w:rPr>
          <w:rFonts w:ascii="Arial" w:hAnsi="Arial" w:cs="Arial"/>
          <w:sz w:val="24"/>
          <w:szCs w:val="24"/>
        </w:rPr>
        <w:t>a fi reprofilat cu panta de 1:2</w:t>
      </w:r>
      <w:r w:rsidRPr="00A42A56">
        <w:rPr>
          <w:rFonts w:ascii="Arial" w:hAnsi="Arial" w:cs="Arial"/>
          <w:sz w:val="24"/>
          <w:szCs w:val="24"/>
        </w:rPr>
        <w:t>.</w:t>
      </w:r>
      <w:r w:rsidR="00103CF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Paramentul amonte va fi protejat cu dale de beton armat in grosime de 20 cm pana la cota de 71,50 mdMN75,</w:t>
      </w:r>
      <w:r w:rsidR="00D77BDA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pozate pe geotextile si un pat in grosime de 5 cm din nisip</w:t>
      </w:r>
      <w:r w:rsidR="00D77BDA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si inier</w:t>
      </w:r>
      <w:r w:rsidR="00D77BDA" w:rsidRPr="00A42A56">
        <w:rPr>
          <w:rFonts w:ascii="Arial" w:hAnsi="Arial" w:cs="Arial"/>
          <w:sz w:val="24"/>
          <w:szCs w:val="24"/>
        </w:rPr>
        <w:t>bat pana la cota coronamentului</w:t>
      </w:r>
      <w:r w:rsidRPr="00A42A56">
        <w:rPr>
          <w:rFonts w:ascii="Arial" w:hAnsi="Arial" w:cs="Arial"/>
          <w:sz w:val="24"/>
          <w:szCs w:val="24"/>
        </w:rPr>
        <w:t>.</w:t>
      </w:r>
      <w:r w:rsidR="00D77BDA" w:rsidRPr="00A42A56">
        <w:rPr>
          <w:rFonts w:ascii="Arial" w:hAnsi="Arial" w:cs="Arial"/>
          <w:sz w:val="24"/>
          <w:szCs w:val="24"/>
        </w:rPr>
        <w:t xml:space="preserve"> </w:t>
      </w:r>
      <w:r w:rsidR="005A383F" w:rsidRPr="00A42A56">
        <w:rPr>
          <w:rFonts w:ascii="Arial" w:hAnsi="Arial" w:cs="Arial"/>
          <w:sz w:val="24"/>
          <w:szCs w:val="24"/>
        </w:rPr>
        <w:t>Pe</w:t>
      </w:r>
      <w:r w:rsidRPr="00A42A56">
        <w:rPr>
          <w:rFonts w:ascii="Arial" w:hAnsi="Arial" w:cs="Arial"/>
          <w:sz w:val="24"/>
          <w:szCs w:val="24"/>
        </w:rPr>
        <w:t>reul de protectie se va rezema la partea inferioara pe o grinda din beton simplu,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cu sectiunea de 50cm inaltime si 40 cm latime.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Dupa sistematizar</w:t>
      </w:r>
      <w:r w:rsidR="00A42A56" w:rsidRPr="00A42A56">
        <w:rPr>
          <w:rFonts w:ascii="Arial" w:hAnsi="Arial" w:cs="Arial"/>
          <w:sz w:val="24"/>
          <w:szCs w:val="24"/>
        </w:rPr>
        <w:t>ea umpluturilor bine compactate</w:t>
      </w:r>
      <w:r w:rsidRPr="00A42A56">
        <w:rPr>
          <w:rFonts w:ascii="Arial" w:hAnsi="Arial" w:cs="Arial"/>
          <w:sz w:val="24"/>
          <w:szCs w:val="24"/>
        </w:rPr>
        <w:t>,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atat la coronament cat si cele pentru repr</w:t>
      </w:r>
      <w:r w:rsidR="00A42A56" w:rsidRPr="00A42A56">
        <w:rPr>
          <w:rFonts w:ascii="Arial" w:hAnsi="Arial" w:cs="Arial"/>
          <w:sz w:val="24"/>
          <w:szCs w:val="24"/>
        </w:rPr>
        <w:t>o</w:t>
      </w:r>
      <w:r w:rsidRPr="00A42A56">
        <w:rPr>
          <w:rFonts w:ascii="Arial" w:hAnsi="Arial" w:cs="Arial"/>
          <w:sz w:val="24"/>
          <w:szCs w:val="24"/>
        </w:rPr>
        <w:t>filarea taluzului aval de la baraj,se vor realiza lucrari de protectie,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prin asternerea unui strat din pamant vegetal inierbat in grosime de cca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20cm.</w:t>
      </w:r>
    </w:p>
    <w:p w:rsidR="00ED1091" w:rsidRPr="00F86427" w:rsidRDefault="00ED1091" w:rsidP="00ED1091">
      <w:pPr>
        <w:ind w:left="360"/>
        <w:rPr>
          <w:b/>
          <w:i/>
          <w:sz w:val="28"/>
          <w:szCs w:val="28"/>
        </w:rPr>
      </w:pPr>
    </w:p>
    <w:p w:rsidR="00ED1091" w:rsidRPr="00103CF6" w:rsidRDefault="00A42A56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42A56">
        <w:rPr>
          <w:rFonts w:ascii="Arial" w:hAnsi="Arial" w:cs="Arial"/>
          <w:b/>
          <w:i/>
          <w:sz w:val="24"/>
          <w:szCs w:val="24"/>
        </w:rPr>
        <w:t xml:space="preserve"> </w:t>
      </w:r>
      <w:r w:rsidR="00ED1091" w:rsidRPr="00103CF6">
        <w:rPr>
          <w:rFonts w:ascii="Arial" w:hAnsi="Arial" w:cs="Arial"/>
          <w:b/>
          <w:i/>
          <w:sz w:val="24"/>
          <w:szCs w:val="24"/>
          <w:u w:val="single"/>
        </w:rPr>
        <w:t xml:space="preserve">Realizare descarcatorui de ape mari de tip canal din beton armat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>Descarcator de suprafata cu acces frontal si nivel liber ,se va amplasa spre malul drept al barajului s</w:t>
      </w:r>
      <w:r>
        <w:rPr>
          <w:rFonts w:ascii="Arial" w:hAnsi="Arial" w:cs="Arial"/>
          <w:sz w:val="24"/>
          <w:szCs w:val="24"/>
        </w:rPr>
        <w:t>i</w:t>
      </w:r>
      <w:r w:rsidRPr="00ED1091">
        <w:rPr>
          <w:rFonts w:ascii="Arial" w:hAnsi="Arial" w:cs="Arial"/>
          <w:sz w:val="24"/>
          <w:szCs w:val="24"/>
        </w:rPr>
        <w:t xml:space="preserve"> va fi de tip deversor cu prag lat ,cu sectiunea transversala de forma trapezoidal</w:t>
      </w:r>
      <w:r>
        <w:rPr>
          <w:rFonts w:ascii="Arial" w:hAnsi="Arial" w:cs="Arial"/>
          <w:sz w:val="24"/>
          <w:szCs w:val="24"/>
        </w:rPr>
        <w:t xml:space="preserve">a </w:t>
      </w:r>
      <w:r w:rsidRPr="00ED1091">
        <w:rPr>
          <w:rFonts w:ascii="Arial" w:hAnsi="Arial" w:cs="Arial"/>
          <w:sz w:val="24"/>
          <w:szCs w:val="24"/>
        </w:rPr>
        <w:t xml:space="preserve">ce va avea urmatoarele dimensiuni </w:t>
      </w:r>
      <w:r>
        <w:rPr>
          <w:rFonts w:ascii="Arial" w:hAnsi="Arial" w:cs="Arial"/>
          <w:sz w:val="24"/>
          <w:szCs w:val="24"/>
        </w:rPr>
        <w:t>: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-baza mica  b=5,00 m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-baza mare B=13,20m,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-pantele taluzurilor 1:2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Descarcatorul de ape mari va fi alcatuit din elemente de beton armat ,astfel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-zona de acces cu lungimea de 1,70 m cu latimea variabila de la 7,00 m la 5,00 m ,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 -prag deversor cu lungimea de 4,00m inaltime h=2,10 msi latime b=5,00 m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 -canalul de evacuare cu lungimea de 8,20 m  si latimea b=7,00 m .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 -canal rapid in lungimea de 6,50 m si latimea b= 7,00 m ,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- disipator de energie in lungime de 5,00 m si latime b=7,00 m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 - lungimea totala L=25,40 m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Descarcatorul de ape mari va avea urmatoarele cote caracteristici :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= cota prag deversor   70,75mdMN75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   =</w:t>
      </w:r>
      <w:r w:rsidR="00103CF6">
        <w:rPr>
          <w:rFonts w:ascii="Arial" w:hAnsi="Arial" w:cs="Arial"/>
          <w:sz w:val="24"/>
          <w:szCs w:val="24"/>
        </w:rPr>
        <w:t xml:space="preserve"> </w:t>
      </w:r>
      <w:r w:rsidRPr="00ED1091">
        <w:rPr>
          <w:rFonts w:ascii="Arial" w:hAnsi="Arial" w:cs="Arial"/>
          <w:sz w:val="24"/>
          <w:szCs w:val="24"/>
        </w:rPr>
        <w:t xml:space="preserve">cota inferioara prag   70,00 mdMN75 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Pentru disiparea energiei apei deversate si protectia malului drept in continuarea pragului deversant se prevede un canal protejat cu pereu din dale de beton p</w:t>
      </w:r>
      <w:r w:rsidR="00103CF6">
        <w:rPr>
          <w:rFonts w:ascii="Arial" w:hAnsi="Arial" w:cs="Arial"/>
          <w:sz w:val="24"/>
          <w:szCs w:val="24"/>
        </w:rPr>
        <w:t>entru</w:t>
      </w:r>
      <w:r w:rsidRPr="00ED1091">
        <w:rPr>
          <w:rFonts w:ascii="Arial" w:hAnsi="Arial" w:cs="Arial"/>
          <w:sz w:val="24"/>
          <w:szCs w:val="24"/>
        </w:rPr>
        <w:t xml:space="preserve"> dirijarea debitelor evacuate in zona de aval ,spre deschiderea podului de la DN2. La distanta de cca 15,00 m in aval de baraj se va amplasa un prag disipator cu inaltimea de 1,00 m.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Descarcatorul de ape mari va fi protejat cu pereu din </w:t>
      </w:r>
      <w:r w:rsidR="00103CF6">
        <w:rPr>
          <w:rFonts w:ascii="Arial" w:hAnsi="Arial" w:cs="Arial"/>
          <w:sz w:val="24"/>
          <w:szCs w:val="24"/>
        </w:rPr>
        <w:t>beton armat in grosime de 20 cm</w:t>
      </w:r>
      <w:r w:rsidRPr="00ED1091">
        <w:rPr>
          <w:rFonts w:ascii="Arial" w:hAnsi="Arial" w:cs="Arial"/>
          <w:sz w:val="24"/>
          <w:szCs w:val="24"/>
        </w:rPr>
        <w:t>,</w:t>
      </w:r>
      <w:r w:rsidR="00103CF6">
        <w:rPr>
          <w:rFonts w:ascii="Arial" w:hAnsi="Arial" w:cs="Arial"/>
          <w:sz w:val="24"/>
          <w:szCs w:val="24"/>
        </w:rPr>
        <w:t xml:space="preserve"> </w:t>
      </w:r>
      <w:r w:rsidRPr="00ED1091">
        <w:rPr>
          <w:rFonts w:ascii="Arial" w:hAnsi="Arial" w:cs="Arial"/>
          <w:sz w:val="24"/>
          <w:szCs w:val="24"/>
        </w:rPr>
        <w:t>fundat pe strat de 15 cm grosime din balast .</w:t>
      </w:r>
    </w:p>
    <w:p w:rsidR="00ED1091" w:rsidRP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Pe talpa radierului canalului rapid si</w:t>
      </w:r>
      <w:r w:rsidR="00103CF6">
        <w:rPr>
          <w:rFonts w:ascii="Arial" w:hAnsi="Arial" w:cs="Arial"/>
          <w:sz w:val="24"/>
          <w:szCs w:val="24"/>
        </w:rPr>
        <w:t xml:space="preserve"> </w:t>
      </w:r>
      <w:r w:rsidRPr="00ED1091">
        <w:rPr>
          <w:rFonts w:ascii="Arial" w:hAnsi="Arial" w:cs="Arial"/>
          <w:sz w:val="24"/>
          <w:szCs w:val="24"/>
        </w:rPr>
        <w:t>pe disipator vor fi prevazute rosturi permanente,</w:t>
      </w:r>
      <w:r w:rsidR="00103CF6">
        <w:rPr>
          <w:rFonts w:ascii="Arial" w:hAnsi="Arial" w:cs="Arial"/>
          <w:sz w:val="24"/>
          <w:szCs w:val="24"/>
        </w:rPr>
        <w:t xml:space="preserve"> </w:t>
      </w:r>
      <w:r w:rsidRPr="00ED1091">
        <w:rPr>
          <w:rFonts w:ascii="Arial" w:hAnsi="Arial" w:cs="Arial"/>
          <w:sz w:val="24"/>
          <w:szCs w:val="24"/>
        </w:rPr>
        <w:t>pinteni si barbacane Dn 50mm ptr diminuarea subpresiunilor .</w:t>
      </w:r>
    </w:p>
    <w:p w:rsidR="00ED1091" w:rsidRDefault="00ED1091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D1091">
        <w:rPr>
          <w:rFonts w:ascii="Arial" w:hAnsi="Arial" w:cs="Arial"/>
          <w:sz w:val="24"/>
          <w:szCs w:val="24"/>
        </w:rPr>
        <w:t xml:space="preserve">   Dupa realizarea descarcatorului nu va mai fi posibila trecerea de pe un mal pe altul peste baraj a utilajelor agricole sau a autovehiculelor .</w:t>
      </w:r>
    </w:p>
    <w:p w:rsidR="00103CF6" w:rsidRPr="00ED1091" w:rsidRDefault="00103CF6" w:rsidP="00ED109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091" w:rsidRPr="00081682" w:rsidRDefault="00A42A56" w:rsidP="0008168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081682">
        <w:rPr>
          <w:rFonts w:ascii="Arial" w:hAnsi="Arial" w:cs="Arial"/>
          <w:b/>
          <w:i/>
          <w:sz w:val="28"/>
          <w:szCs w:val="28"/>
          <w:u w:val="single"/>
        </w:rPr>
        <w:t>Reabilitarea golirii de fund tip “</w:t>
      </w:r>
      <w:r w:rsidR="00ED1091" w:rsidRPr="00081682">
        <w:rPr>
          <w:rFonts w:ascii="Arial" w:hAnsi="Arial" w:cs="Arial"/>
          <w:b/>
          <w:i/>
          <w:sz w:val="28"/>
          <w:szCs w:val="28"/>
          <w:u w:val="single"/>
        </w:rPr>
        <w:t xml:space="preserve"> calugar</w:t>
      </w:r>
      <w:r w:rsidRPr="00081682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A42A56" w:rsidRDefault="00A42A56" w:rsidP="00081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ED1091" w:rsidRPr="00A42A56">
        <w:rPr>
          <w:rFonts w:ascii="Arial" w:hAnsi="Arial" w:cs="Arial"/>
        </w:rPr>
        <w:t>Pentru exploatarea in conditii de siguranta a g</w:t>
      </w:r>
      <w:r>
        <w:rPr>
          <w:rFonts w:ascii="Arial" w:hAnsi="Arial" w:cs="Arial"/>
        </w:rPr>
        <w:t>olirii de fund de tip ,,calugar”</w:t>
      </w:r>
      <w:r w:rsidR="00ED1091" w:rsidRPr="00A42A56">
        <w:rPr>
          <w:rFonts w:ascii="Arial" w:hAnsi="Arial" w:cs="Arial"/>
        </w:rPr>
        <w:t>, s-a propus real</w:t>
      </w:r>
      <w:r>
        <w:rPr>
          <w:rFonts w:ascii="Arial" w:hAnsi="Arial" w:cs="Arial"/>
        </w:rPr>
        <w:t>izarea unei pasarele metalice pentru</w:t>
      </w:r>
      <w:r w:rsidR="00ED1091" w:rsidRPr="00A42A56">
        <w:rPr>
          <w:rFonts w:ascii="Arial" w:hAnsi="Arial" w:cs="Arial"/>
        </w:rPr>
        <w:t xml:space="preserve"> acces de pe coronamentul </w:t>
      </w:r>
      <w:r>
        <w:rPr>
          <w:rFonts w:ascii="Arial" w:hAnsi="Arial" w:cs="Arial"/>
        </w:rPr>
        <w:t>sistematizat al barajului</w:t>
      </w:r>
      <w:r w:rsidR="00ED1091" w:rsidRPr="00A42A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 caminul pentru</w:t>
      </w:r>
      <w:r w:rsidR="00ED1091" w:rsidRPr="00A42A56">
        <w:rPr>
          <w:rFonts w:ascii="Arial" w:hAnsi="Arial" w:cs="Arial"/>
        </w:rPr>
        <w:t xml:space="preserve"> manevre al calugarului .</w:t>
      </w:r>
    </w:p>
    <w:p w:rsidR="00A42A56" w:rsidRDefault="00A42A56" w:rsidP="00081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1091" w:rsidRPr="00A42A56">
        <w:rPr>
          <w:rFonts w:ascii="Arial" w:hAnsi="Arial" w:cs="Arial"/>
        </w:rPr>
        <w:t>Structura pasarelei va fi realizata din profile laminate si fixate cu ancore atat pe o fundatie de beton armat ce se va amplasa pe coronamentul barajului ,cat si</w:t>
      </w:r>
      <w:r>
        <w:rPr>
          <w:rFonts w:ascii="Arial" w:hAnsi="Arial" w:cs="Arial"/>
        </w:rPr>
        <w:t xml:space="preserve"> </w:t>
      </w:r>
      <w:r w:rsidR="00ED1091" w:rsidRPr="00A42A56">
        <w:rPr>
          <w:rFonts w:ascii="Arial" w:hAnsi="Arial" w:cs="Arial"/>
        </w:rPr>
        <w:t xml:space="preserve">pe partea superioara a caminului calugarului. </w:t>
      </w:r>
    </w:p>
    <w:p w:rsidR="00ED1091" w:rsidRDefault="00A42A56" w:rsidP="00A42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1091" w:rsidRPr="00A42A56">
        <w:rPr>
          <w:rFonts w:ascii="Arial" w:hAnsi="Arial" w:cs="Arial"/>
        </w:rPr>
        <w:t>Podina se va realiza cu gratare zincate .Balustrada de protectie este realizata cu montanti din teava rotunda si mana curenta din teava rotunda.</w:t>
      </w:r>
      <w:r w:rsidR="00613189">
        <w:rPr>
          <w:rFonts w:ascii="Arial" w:hAnsi="Arial" w:cs="Arial"/>
        </w:rPr>
        <w:t xml:space="preserve"> </w:t>
      </w:r>
      <w:r w:rsidR="00ED1091" w:rsidRPr="00A42A56">
        <w:rPr>
          <w:rFonts w:ascii="Arial" w:hAnsi="Arial" w:cs="Arial"/>
        </w:rPr>
        <w:t>Pe calugar s-a prevazut balustrade de protectie cu lant p</w:t>
      </w:r>
      <w:r w:rsidR="00613189">
        <w:rPr>
          <w:rFonts w:ascii="Arial" w:hAnsi="Arial" w:cs="Arial"/>
        </w:rPr>
        <w:t>entru</w:t>
      </w:r>
      <w:r w:rsidR="00ED1091" w:rsidRPr="00A42A56">
        <w:rPr>
          <w:rFonts w:ascii="Arial" w:hAnsi="Arial" w:cs="Arial"/>
        </w:rPr>
        <w:t xml:space="preserve"> asigurarea spatiului de manevra a vanetilor .</w:t>
      </w:r>
    </w:p>
    <w:p w:rsidR="00A42A56" w:rsidRPr="00A42A56" w:rsidRDefault="00A42A56" w:rsidP="00A42A56">
      <w:pPr>
        <w:rPr>
          <w:rFonts w:ascii="Arial" w:hAnsi="Arial" w:cs="Arial"/>
        </w:rPr>
      </w:pPr>
    </w:p>
    <w:p w:rsidR="00ED1091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42A56">
        <w:rPr>
          <w:rFonts w:ascii="Arial" w:hAnsi="Arial" w:cs="Arial"/>
          <w:b/>
          <w:i/>
          <w:sz w:val="24"/>
          <w:szCs w:val="24"/>
          <w:u w:val="single"/>
        </w:rPr>
        <w:t xml:space="preserve">Lucrari </w:t>
      </w:r>
      <w:r w:rsidR="00A42A56" w:rsidRPr="00A42A56">
        <w:rPr>
          <w:rFonts w:ascii="Arial" w:hAnsi="Arial" w:cs="Arial"/>
          <w:b/>
          <w:i/>
          <w:sz w:val="24"/>
          <w:szCs w:val="24"/>
          <w:u w:val="single"/>
        </w:rPr>
        <w:t>provizorii</w:t>
      </w:r>
    </w:p>
    <w:p w:rsidR="00A42A56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Pentru realizarea lucrarilor de reabilitare de la barajul </w:t>
      </w:r>
      <w:r w:rsidR="00A42A56" w:rsidRPr="00A42A56">
        <w:rPr>
          <w:rFonts w:ascii="Arial" w:hAnsi="Arial" w:cs="Arial"/>
          <w:sz w:val="24"/>
          <w:szCs w:val="24"/>
        </w:rPr>
        <w:t>A</w:t>
      </w:r>
      <w:r w:rsidRPr="00A42A56">
        <w:rPr>
          <w:rFonts w:ascii="Arial" w:hAnsi="Arial" w:cs="Arial"/>
          <w:sz w:val="24"/>
          <w:szCs w:val="24"/>
        </w:rPr>
        <w:t>fumati II,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sunt necesare lucrari</w:t>
      </w:r>
      <w:r w:rsidR="00A42A56" w:rsidRPr="00A42A56">
        <w:rPr>
          <w:rFonts w:ascii="Arial" w:hAnsi="Arial" w:cs="Arial"/>
          <w:sz w:val="24"/>
          <w:szCs w:val="24"/>
        </w:rPr>
        <w:t xml:space="preserve"> provizorii de deviere a apelor,.</w:t>
      </w:r>
    </w:p>
    <w:p w:rsidR="00ED1091" w:rsidRPr="00A42A56" w:rsidRDefault="00A42A56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>Principalele lucrari prevazute sunt</w:t>
      </w:r>
      <w:r w:rsidR="00ED1091" w:rsidRPr="00A42A56">
        <w:rPr>
          <w:rFonts w:ascii="Arial" w:hAnsi="Arial" w:cs="Arial"/>
          <w:sz w:val="24"/>
          <w:szCs w:val="24"/>
        </w:rPr>
        <w:t xml:space="preserve"> :</w:t>
      </w:r>
    </w:p>
    <w:p w:rsidR="00ED1091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 = batardouri din pamant ptr incinte de lucru (amonte si aval ),</w:t>
      </w:r>
      <w:r w:rsidR="00A42A56" w:rsidRPr="00A42A56">
        <w:rPr>
          <w:rFonts w:ascii="Arial" w:hAnsi="Arial" w:cs="Arial"/>
          <w:sz w:val="24"/>
          <w:szCs w:val="24"/>
        </w:rPr>
        <w:t xml:space="preserve"> executie, </w:t>
      </w:r>
      <w:r w:rsidRPr="00A42A56">
        <w:rPr>
          <w:rFonts w:ascii="Arial" w:hAnsi="Arial" w:cs="Arial"/>
          <w:sz w:val="24"/>
          <w:szCs w:val="24"/>
        </w:rPr>
        <w:t>mutare si desfiintare ;</w:t>
      </w:r>
    </w:p>
    <w:p w:rsidR="00ED1091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 =bresa ptr golirea si pozarea conductelor (3 fire Dn800mmx 15,00 m) ptr devierea apelor in perioada executiei .</w:t>
      </w:r>
    </w:p>
    <w:p w:rsidR="00ED1091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Batardourile din pamant se vor ex</w:t>
      </w:r>
      <w:r w:rsidR="00A42A56" w:rsidRPr="00A42A56">
        <w:rPr>
          <w:rFonts w:ascii="Arial" w:hAnsi="Arial" w:cs="Arial"/>
          <w:sz w:val="24"/>
          <w:szCs w:val="24"/>
        </w:rPr>
        <w:t>ecuta cu coronamentul 72,00mdMN</w:t>
      </w:r>
      <w:r w:rsidRPr="00A42A56">
        <w:rPr>
          <w:rFonts w:ascii="Arial" w:hAnsi="Arial" w:cs="Arial"/>
          <w:sz w:val="24"/>
          <w:szCs w:val="24"/>
        </w:rPr>
        <w:t>,</w:t>
      </w:r>
      <w:r w:rsidR="00A42A56" w:rsidRPr="00A42A56">
        <w:rPr>
          <w:rFonts w:ascii="Arial" w:hAnsi="Arial" w:cs="Arial"/>
          <w:sz w:val="24"/>
          <w:szCs w:val="24"/>
        </w:rPr>
        <w:t xml:space="preserve"> </w:t>
      </w:r>
      <w:r w:rsidRPr="00A42A56">
        <w:rPr>
          <w:rFonts w:ascii="Arial" w:hAnsi="Arial" w:cs="Arial"/>
          <w:sz w:val="24"/>
          <w:szCs w:val="24"/>
        </w:rPr>
        <w:t>corespunzator nivelului debitului cu probabilitatea de depasire p=10% .</w:t>
      </w:r>
    </w:p>
    <w:p w:rsidR="00ED1091" w:rsidRPr="00A42A56" w:rsidRDefault="00ED1091" w:rsidP="00A42A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2A56">
        <w:rPr>
          <w:rFonts w:ascii="Arial" w:hAnsi="Arial" w:cs="Arial"/>
          <w:sz w:val="24"/>
          <w:szCs w:val="24"/>
        </w:rPr>
        <w:t xml:space="preserve">   Realizarea bresei este prevazuta a se executa</w:t>
      </w:r>
      <w:r w:rsidR="00A42A56" w:rsidRPr="00A42A56">
        <w:rPr>
          <w:rFonts w:ascii="Arial" w:hAnsi="Arial" w:cs="Arial"/>
          <w:sz w:val="24"/>
          <w:szCs w:val="24"/>
        </w:rPr>
        <w:t xml:space="preserve"> spre malul stang al barajului, </w:t>
      </w:r>
      <w:r w:rsidRPr="00A42A56">
        <w:rPr>
          <w:rFonts w:ascii="Arial" w:hAnsi="Arial" w:cs="Arial"/>
          <w:sz w:val="24"/>
          <w:szCs w:val="24"/>
        </w:rPr>
        <w:t>cu latimea la baza de 3,00 m pe toata inaltimea barajului ,de la coronament pana la fundatie .</w:t>
      </w:r>
    </w:p>
    <w:p w:rsidR="00ED1091" w:rsidRPr="00A42A56" w:rsidRDefault="00ED1091" w:rsidP="00A42A56">
      <w:pPr>
        <w:jc w:val="both"/>
        <w:rPr>
          <w:rFonts w:ascii="Arial" w:hAnsi="Arial" w:cs="Arial"/>
        </w:rPr>
      </w:pPr>
      <w:r w:rsidRPr="00A42A56">
        <w:rPr>
          <w:rFonts w:ascii="Arial" w:hAnsi="Arial" w:cs="Arial"/>
        </w:rPr>
        <w:t>Nu sunt necesare lucrari de racordare la retelele edilitare .</w:t>
      </w: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</w:p>
    <w:p w:rsidR="00ED7D46" w:rsidRPr="005A1F59" w:rsidRDefault="00D02E31" w:rsidP="00A42A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ro-RO"/>
        </w:rPr>
        <w:t xml:space="preserve">    </w:t>
      </w:r>
    </w:p>
    <w:p w:rsidR="00590546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081682">
        <w:rPr>
          <w:rFonts w:ascii="Arial" w:hAnsi="Arial" w:cs="Arial"/>
          <w:color w:val="000000"/>
          <w:lang w:val="pt-BR"/>
        </w:rPr>
        <w:t>baraj existent – Afumati II</w:t>
      </w:r>
      <w:r w:rsidR="00613189">
        <w:rPr>
          <w:rFonts w:ascii="Arial" w:hAnsi="Arial" w:cs="Arial"/>
          <w:color w:val="000000"/>
          <w:lang w:val="pt-BR"/>
        </w:rPr>
        <w:t>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</w:t>
      </w:r>
      <w:r w:rsidR="002C4B71">
        <w:rPr>
          <w:rFonts w:ascii="Arial" w:hAnsi="Arial" w:cs="Arial"/>
          <w:sz w:val="24"/>
          <w:szCs w:val="24"/>
        </w:rPr>
        <w:t>o</w:t>
      </w:r>
      <w:r w:rsidR="00B67500" w:rsidRPr="00D45EC1">
        <w:rPr>
          <w:rFonts w:ascii="Arial" w:hAnsi="Arial" w:cs="Arial"/>
          <w:sz w:val="24"/>
          <w:szCs w:val="24"/>
        </w:rPr>
        <w:t xml:space="preserve">ada de funcționare vor rezulta deșeuri ce vor fi  stocate temporar în containere corespunzătoare și evacuate pe bază de contract încheiat cu firme </w:t>
      </w:r>
      <w:r w:rsidR="002C4B71">
        <w:rPr>
          <w:rFonts w:ascii="Arial" w:hAnsi="Arial" w:cs="Arial"/>
          <w:sz w:val="24"/>
          <w:szCs w:val="24"/>
        </w:rPr>
        <w:t>autorizate.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B67500" w:rsidRPr="000F5E1F" w:rsidRDefault="00B67500" w:rsidP="00B40886">
      <w:pPr>
        <w:jc w:val="both"/>
        <w:rPr>
          <w:rFonts w:ascii="Arial" w:hAnsi="Arial" w:cs="Arial"/>
          <w:color w:val="000000"/>
          <w:lang w:val="pt-BR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>conform PU</w:t>
      </w:r>
      <w:r w:rsidR="000F5E1F">
        <w:rPr>
          <w:rFonts w:ascii="Arial" w:hAnsi="Arial" w:cs="Arial"/>
        </w:rPr>
        <w:t>G</w:t>
      </w:r>
      <w:r w:rsidR="000D4BB5">
        <w:rPr>
          <w:rFonts w:ascii="Arial" w:hAnsi="Arial" w:cs="Arial"/>
        </w:rPr>
        <w:t xml:space="preserve"> aprobat prin HCL </w:t>
      </w:r>
      <w:r w:rsidR="00613189">
        <w:rPr>
          <w:rFonts w:ascii="Arial" w:hAnsi="Arial" w:cs="Arial"/>
        </w:rPr>
        <w:t>Afumati</w:t>
      </w:r>
      <w:r w:rsidR="00AE57EF">
        <w:rPr>
          <w:rFonts w:ascii="Arial" w:hAnsi="Arial" w:cs="Arial"/>
        </w:rPr>
        <w:t xml:space="preserve"> </w:t>
      </w:r>
      <w:r w:rsidR="000D4BB5">
        <w:rPr>
          <w:rFonts w:ascii="Arial" w:hAnsi="Arial" w:cs="Arial"/>
        </w:rPr>
        <w:t xml:space="preserve">nr. </w:t>
      </w:r>
      <w:r w:rsidR="00AE57EF">
        <w:rPr>
          <w:rFonts w:ascii="Arial" w:hAnsi="Arial" w:cs="Arial"/>
        </w:rPr>
        <w:t>1</w:t>
      </w:r>
      <w:r w:rsidR="00613189">
        <w:rPr>
          <w:rFonts w:ascii="Arial" w:hAnsi="Arial" w:cs="Arial"/>
        </w:rPr>
        <w:t>12</w:t>
      </w:r>
      <w:r w:rsidR="000F5E1F">
        <w:rPr>
          <w:rFonts w:ascii="Arial" w:hAnsi="Arial" w:cs="Arial"/>
        </w:rPr>
        <w:t>/</w:t>
      </w:r>
      <w:r w:rsidR="00230AB2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01</w:t>
      </w:r>
      <w:r w:rsidR="00613189">
        <w:rPr>
          <w:rFonts w:ascii="Arial" w:hAnsi="Arial" w:cs="Arial"/>
        </w:rPr>
        <w:t>8</w:t>
      </w:r>
      <w:r w:rsidR="000D4BB5">
        <w:rPr>
          <w:rFonts w:ascii="Arial" w:hAnsi="Arial" w:cs="Arial"/>
        </w:rPr>
        <w:t xml:space="preserve">, </w:t>
      </w:r>
      <w:r w:rsidR="002C4B71">
        <w:rPr>
          <w:rFonts w:ascii="Arial" w:hAnsi="Arial" w:cs="Arial"/>
          <w:color w:val="000000"/>
          <w:lang w:val="pt-BR"/>
        </w:rPr>
        <w:t>sub</w:t>
      </w:r>
      <w:r w:rsidR="002C4B71" w:rsidRPr="000A2F5E">
        <w:rPr>
          <w:rFonts w:ascii="Arial" w:hAnsi="Arial" w:cs="Arial"/>
          <w:color w:val="000000"/>
          <w:lang w:val="pt-BR"/>
        </w:rPr>
        <w:t>zon</w:t>
      </w:r>
      <w:r w:rsidR="00613189">
        <w:rPr>
          <w:rFonts w:ascii="Arial" w:hAnsi="Arial" w:cs="Arial"/>
          <w:color w:val="000000"/>
          <w:lang w:val="pt-BR"/>
        </w:rPr>
        <w:t>a unitati agricole</w:t>
      </w:r>
      <w:r w:rsidR="002C4B71">
        <w:rPr>
          <w:rFonts w:ascii="Arial" w:hAnsi="Arial" w:cs="Arial"/>
        </w:rPr>
        <w:t>.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lastRenderedPageBreak/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613189">
        <w:rPr>
          <w:rFonts w:ascii="Arial" w:hAnsi="Arial" w:cs="Arial"/>
        </w:rPr>
        <w:t>308</w:t>
      </w:r>
      <w:r w:rsidR="00B124E9">
        <w:rPr>
          <w:rFonts w:ascii="Arial" w:hAnsi="Arial" w:cs="Arial"/>
        </w:rPr>
        <w:t xml:space="preserve"> din </w:t>
      </w:r>
      <w:r w:rsidR="00613189">
        <w:rPr>
          <w:rFonts w:ascii="Arial" w:hAnsi="Arial" w:cs="Arial"/>
        </w:rPr>
        <w:t>11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613189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7308CE">
        <w:rPr>
          <w:rFonts w:ascii="Arial" w:hAnsi="Arial" w:cs="Arial"/>
        </w:rPr>
        <w:t>9</w:t>
      </w:r>
      <w:r w:rsidRPr="00D45EC1">
        <w:rPr>
          <w:rFonts w:ascii="Arial" w:hAnsi="Arial" w:cs="Arial"/>
        </w:rPr>
        <w:t xml:space="preserve">  emis de Primaria </w:t>
      </w:r>
      <w:r w:rsidR="00613189">
        <w:rPr>
          <w:rFonts w:ascii="Arial" w:hAnsi="Arial" w:cs="Arial"/>
        </w:rPr>
        <w:t>Comuna Afumati</w:t>
      </w:r>
      <w:r w:rsidRPr="00D45EC1">
        <w:rPr>
          <w:rFonts w:ascii="Arial" w:hAnsi="Arial" w:cs="Arial"/>
        </w:rPr>
        <w:t>, jud. Ilfov şi prin 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</w:t>
      </w:r>
      <w:r w:rsidR="002C4B71">
        <w:rPr>
          <w:rFonts w:ascii="Arial" w:hAnsi="Arial" w:cs="Arial"/>
        </w:rPr>
        <w:t>R</w:t>
      </w:r>
      <w:r w:rsidRPr="00D45EC1">
        <w:rPr>
          <w:rFonts w:ascii="Arial" w:hAnsi="Arial" w:cs="Arial"/>
        </w:rPr>
        <w:t xml:space="preserve">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Legea nr. 104/2011 privind protecţia atmosferei. </w:t>
      </w:r>
    </w:p>
    <w:p w:rsidR="003613CE" w:rsidRPr="00613189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613189" w:rsidRPr="00D826EC" w:rsidRDefault="00613189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>
        <w:rPr>
          <w:lang w:val="fr-FR"/>
        </w:rPr>
        <w:lastRenderedPageBreak/>
        <w:t>Legea Apelor nr. 107/1196 cu modificarile si completarile ulterioare.</w:t>
      </w:r>
    </w:p>
    <w:p w:rsidR="00D50F6A" w:rsidRPr="00D50300" w:rsidRDefault="00581C31" w:rsidP="00D50F6A">
      <w:pPr>
        <w:pStyle w:val="Default"/>
        <w:jc w:val="both"/>
        <w:rPr>
          <w:color w:val="000000" w:themeColor="text1"/>
        </w:rPr>
      </w:pPr>
      <w:r w:rsidRPr="00D50300">
        <w:rPr>
          <w:color w:val="000000" w:themeColor="text1"/>
          <w:lang w:eastAsia="ro-RO"/>
        </w:rPr>
        <w:t>j)</w:t>
      </w:r>
      <w:r w:rsidR="00D50F6A" w:rsidRPr="00D50300">
        <w:rPr>
          <w:color w:val="000000" w:themeColor="text1"/>
        </w:rPr>
        <w:t xml:space="preserve">  </w:t>
      </w:r>
      <w:r w:rsidR="00613189">
        <w:rPr>
          <w:color w:val="000000" w:themeColor="text1"/>
        </w:rPr>
        <w:t>In perioada executiei lucrarilor constructorul este obligat sa ia masuri de prevenire si combatere a poluarilor accidentale ale Raului Pasarea si lacului de acumulare Afumati II (se vor lua masuri de protectie a calitatii apelor, interzicandu-se depozitarea si aruncarea in albia raului, respectie in cuveta lacului si pe malurile acestuia a oricaror tipuri de material sau deseuri provenite din tehnologia de lucru utilizata</w:t>
      </w:r>
      <w:r w:rsidR="00C27C4D">
        <w:rPr>
          <w:color w:val="000000" w:themeColor="text1"/>
        </w:rPr>
        <w:t>.</w:t>
      </w:r>
    </w:p>
    <w:p w:rsidR="000F5E1F" w:rsidRDefault="00D50300" w:rsidP="00D50F6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B35674" w:rsidRPr="00D50300">
        <w:rPr>
          <w:color w:val="000000" w:themeColor="text1"/>
        </w:rPr>
        <w:t xml:space="preserve">) </w:t>
      </w:r>
      <w:r w:rsidR="00613189">
        <w:rPr>
          <w:color w:val="000000" w:themeColor="text1"/>
        </w:rPr>
        <w:t>Se vor respecta prevederile Avizului nr</w:t>
      </w:r>
      <w:r w:rsidR="000F5E1F" w:rsidRPr="00D50300">
        <w:rPr>
          <w:color w:val="000000" w:themeColor="text1"/>
        </w:rPr>
        <w:t>.</w:t>
      </w:r>
      <w:r w:rsidR="00613189">
        <w:rPr>
          <w:color w:val="000000" w:themeColor="text1"/>
        </w:rPr>
        <w:t xml:space="preserve"> 104 din 06.09.2019 privind documentatia de expertiza tehnica Referat de expertizare – avizare a proiectului </w:t>
      </w:r>
      <w:r w:rsidR="00255628">
        <w:rPr>
          <w:color w:val="000000" w:themeColor="text1"/>
        </w:rPr>
        <w:t xml:space="preserve">tehnic emis de Comisia </w:t>
      </w:r>
    </w:p>
    <w:p w:rsidR="00B35674" w:rsidRPr="00D50300" w:rsidRDefault="000F5E1F" w:rsidP="00D50F6A">
      <w:pPr>
        <w:pStyle w:val="Default"/>
        <w:jc w:val="both"/>
        <w:rPr>
          <w:color w:val="000000" w:themeColor="text1"/>
          <w:lang w:eastAsia="ro-RO"/>
        </w:rPr>
      </w:pPr>
      <w:r>
        <w:rPr>
          <w:color w:val="000000" w:themeColor="text1"/>
        </w:rPr>
        <w:t>l)</w:t>
      </w:r>
      <w:r w:rsidR="00B35674" w:rsidRPr="00D50300">
        <w:rPr>
          <w:color w:val="000000" w:themeColor="text1"/>
          <w:lang w:eastAsia="ro-RO"/>
        </w:rPr>
        <w:t xml:space="preserve">Se vor respecta prevederile avizului de gospodarire a apelor nr. </w:t>
      </w:r>
      <w:r w:rsidR="00ED1091">
        <w:rPr>
          <w:color w:val="000000" w:themeColor="text1"/>
          <w:lang w:eastAsia="ro-RO"/>
        </w:rPr>
        <w:t>18-IF/17.01.2020</w:t>
      </w:r>
      <w:r w:rsidR="00B35674" w:rsidRPr="00D50300">
        <w:rPr>
          <w:color w:val="000000" w:themeColor="text1"/>
          <w:lang w:eastAsia="ro-RO"/>
        </w:rPr>
        <w:t xml:space="preserve"> emis de Admini</w:t>
      </w:r>
      <w:r w:rsidR="007730AB" w:rsidRPr="00D50300">
        <w:rPr>
          <w:color w:val="000000" w:themeColor="text1"/>
          <w:lang w:eastAsia="ro-RO"/>
        </w:rPr>
        <w:t>s</w:t>
      </w:r>
      <w:r w:rsidR="00B35674" w:rsidRPr="00D50300">
        <w:rPr>
          <w:color w:val="000000" w:themeColor="text1"/>
          <w:lang w:eastAsia="ro-RO"/>
        </w:rPr>
        <w:t>tratia Bazinala de Apa A</w:t>
      </w:r>
      <w:r w:rsidR="00254DE2" w:rsidRPr="00D50300">
        <w:rPr>
          <w:color w:val="000000" w:themeColor="text1"/>
          <w:lang w:eastAsia="ro-RO"/>
        </w:rPr>
        <w:t>rges-Vedea</w:t>
      </w:r>
      <w:r w:rsidR="00B35674" w:rsidRPr="00D50300">
        <w:rPr>
          <w:color w:val="000000" w:themeColor="text1"/>
          <w:lang w:eastAsia="ro-RO"/>
        </w:rPr>
        <w:t>.</w:t>
      </w:r>
    </w:p>
    <w:p w:rsidR="00407CC1" w:rsidRDefault="000F5E1F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m</w:t>
      </w:r>
      <w:r w:rsidR="00BD2897">
        <w:rPr>
          <w:lang w:eastAsia="ro-RO"/>
        </w:rPr>
        <w:t xml:space="preserve">)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D50F6A" w:rsidRDefault="00D50F6A" w:rsidP="00407CC1">
      <w:pPr>
        <w:pStyle w:val="Default"/>
        <w:jc w:val="both"/>
        <w:rPr>
          <w:b/>
        </w:rPr>
      </w:pPr>
    </w:p>
    <w:p w:rsidR="00407CC1" w:rsidRPr="001F2938" w:rsidRDefault="00407CC1" w:rsidP="00407CC1">
      <w:pPr>
        <w:pStyle w:val="Default"/>
        <w:jc w:val="both"/>
      </w:pPr>
      <w:r w:rsidRPr="00B800EC">
        <w:rPr>
          <w:b/>
        </w:rPr>
        <w:t>APM ILFOV nu isi asuma responsabilitatea pentru eventualul disconfort creat de viitoarele constructii</w:t>
      </w:r>
      <w:r>
        <w:rPr>
          <w:b/>
        </w:rPr>
        <w:t xml:space="preserve"> prevazute prin prezentul proiect</w:t>
      </w:r>
      <w:r w:rsidRPr="00B800EC">
        <w:rPr>
          <w:b/>
        </w:rPr>
        <w:t>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3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lastRenderedPageBreak/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5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Pr="00B7687A" w:rsidRDefault="0087666F" w:rsidP="00AC1080">
      <w:pPr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s-ES"/>
        </w:rPr>
        <w:t>GABRIELA DOROJAN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B15CC8" w:rsidRDefault="00B15CC8" w:rsidP="00B15CC8">
      <w:pPr>
        <w:keepLines/>
        <w:widowControl w:val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ro-RO"/>
        </w:rPr>
        <w:t>p</w:t>
      </w:r>
      <w:r w:rsidR="00C85973">
        <w:rPr>
          <w:rFonts w:ascii="Arial" w:hAnsi="Arial" w:cs="Arial"/>
          <w:b/>
          <w:bCs/>
          <w:lang w:val="ro-RO"/>
        </w:rPr>
        <w:t xml:space="preserve">. </w:t>
      </w:r>
      <w:r w:rsidR="00AC1080">
        <w:rPr>
          <w:rFonts w:ascii="Arial" w:hAnsi="Arial" w:cs="Arial"/>
          <w:b/>
          <w:bCs/>
          <w:lang w:val="ro-RO"/>
        </w:rPr>
        <w:t>Serviciu</w:t>
      </w:r>
      <w:r w:rsidR="00B61AC4">
        <w:rPr>
          <w:rFonts w:ascii="Arial" w:hAnsi="Arial" w:cs="Arial"/>
          <w:b/>
          <w:bCs/>
          <w:lang w:val="ro-RO"/>
        </w:rPr>
        <w:t>l</w:t>
      </w:r>
      <w:r w:rsidR="00AC1080">
        <w:rPr>
          <w:rFonts w:ascii="Arial" w:hAnsi="Arial" w:cs="Arial"/>
          <w:b/>
          <w:bCs/>
          <w:lang w:val="ro-RO"/>
        </w:rPr>
        <w:t xml:space="preserve"> </w:t>
      </w:r>
      <w:r w:rsidR="00AC1080">
        <w:rPr>
          <w:rFonts w:ascii="Arial" w:hAnsi="Arial" w:cs="Arial"/>
          <w:b/>
          <w:lang w:val="pt-BR"/>
        </w:rPr>
        <w:t>Avize, Acorduri, Autorizatii</w:t>
      </w:r>
      <w:r w:rsidR="00AC1080">
        <w:rPr>
          <w:rFonts w:ascii="Arial" w:hAnsi="Arial" w:cs="Arial"/>
          <w:b/>
          <w:lang w:val="it-IT"/>
        </w:rPr>
        <w:t xml:space="preserve">,  </w:t>
      </w:r>
    </w:p>
    <w:p w:rsidR="00AC1080" w:rsidRPr="00B15CC8" w:rsidRDefault="00AC1080" w:rsidP="00B15CC8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</w:t>
      </w:r>
      <w:r w:rsidR="00B15CC8">
        <w:rPr>
          <w:rFonts w:ascii="Arial" w:eastAsia="Arial" w:hAnsi="Arial" w:cs="Arial"/>
          <w:b/>
          <w:lang w:val="it-IT"/>
        </w:rPr>
        <w:t>Corina-Ecaterina Necula-Ciochina</w:t>
      </w: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sectPr w:rsidR="00B124E9" w:rsidSect="00BC69D8">
      <w:footerReference w:type="even" r:id="rId16"/>
      <w:footerReference w:type="default" r:id="rId17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18" w:rsidRDefault="007F7A18">
      <w:r>
        <w:separator/>
      </w:r>
    </w:p>
  </w:endnote>
  <w:endnote w:type="continuationSeparator" w:id="1">
    <w:p w:rsidR="007F7A18" w:rsidRDefault="007F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77" w:rsidRDefault="00866025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7" w:rsidRDefault="00866025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682">
      <w:rPr>
        <w:rStyle w:val="PageNumber"/>
        <w:noProof/>
      </w:rPr>
      <w:t>6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866025" w:rsidP="00C212AE">
    <w:pPr>
      <w:pStyle w:val="Header"/>
      <w:jc w:val="center"/>
      <w:rPr>
        <w:rFonts w:ascii="Garamond" w:hAnsi="Garamond"/>
        <w:b/>
        <w:color w:val="00214E"/>
      </w:rPr>
    </w:pPr>
    <w:r w:rsidRPr="00866025">
      <w:rPr>
        <w:rFonts w:ascii="Garamond" w:hAnsi="Garamond"/>
        <w:noProof/>
      </w:rPr>
      <w:pict>
        <v:line id="_x0000_s2072" style="position:absolute;left:0;text-align:left;z-index:251658240" from="27pt,.2pt" to="513pt,.2pt"/>
      </w:pict>
    </w:r>
    <w:r w:rsidRPr="00866025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">
          <v:imagedata r:id="rId1" o:title=""/>
        </v:shape>
        <o:OLEObject Type="Embed" ProgID="CorelDRAW.Graphic.13" ShapeID="_x0000_s2062" DrawAspect="Content" ObjectID="_1647421940" r:id="rId2"/>
      </w:pi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18" w:rsidRDefault="007F7A18">
      <w:r>
        <w:separator/>
      </w:r>
    </w:p>
  </w:footnote>
  <w:footnote w:type="continuationSeparator" w:id="1">
    <w:p w:rsidR="007F7A18" w:rsidRDefault="007F7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76C"/>
    <w:multiLevelType w:val="hybridMultilevel"/>
    <w:tmpl w:val="EA2C5E48"/>
    <w:lvl w:ilvl="0" w:tplc="81DC4A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D01AD"/>
    <w:multiLevelType w:val="hybridMultilevel"/>
    <w:tmpl w:val="C6F2E7C4"/>
    <w:lvl w:ilvl="0" w:tplc="4B5C5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2181"/>
    <w:multiLevelType w:val="hybridMultilevel"/>
    <w:tmpl w:val="423EB4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87DA2"/>
    <w:multiLevelType w:val="hybridMultilevel"/>
    <w:tmpl w:val="2D02FD9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3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29"/>
  </w:num>
  <w:num w:numId="28">
    <w:abstractNumId w:val="2"/>
  </w:num>
  <w:num w:numId="29">
    <w:abstractNumId w:val="8"/>
  </w:num>
  <w:num w:numId="30">
    <w:abstractNumId w:val="19"/>
  </w:num>
  <w:num w:numId="31">
    <w:abstractNumId w:val="7"/>
  </w:num>
  <w:num w:numId="32">
    <w:abstractNumId w:val="30"/>
  </w:num>
  <w:num w:numId="33">
    <w:abstractNumId w:val="26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characterSpacingControl w:val="doNotCompress"/>
  <w:hdrShapeDefaults>
    <o:shapedefaults v:ext="edit" spidmax="21506" strokecolor="yellow">
      <v:stroke color="yellow"/>
      <o:colormru v:ext="edit" colors="#003bb0"/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4FA"/>
    <w:rsid w:val="00003F8E"/>
    <w:rsid w:val="00005874"/>
    <w:rsid w:val="00013E7E"/>
    <w:rsid w:val="00021954"/>
    <w:rsid w:val="000259D1"/>
    <w:rsid w:val="000268E8"/>
    <w:rsid w:val="000300C0"/>
    <w:rsid w:val="00035F58"/>
    <w:rsid w:val="00037FD7"/>
    <w:rsid w:val="00050EDF"/>
    <w:rsid w:val="000526C3"/>
    <w:rsid w:val="00065F8E"/>
    <w:rsid w:val="0006676F"/>
    <w:rsid w:val="00066EC6"/>
    <w:rsid w:val="00067B70"/>
    <w:rsid w:val="00074DA7"/>
    <w:rsid w:val="00074EF1"/>
    <w:rsid w:val="00081682"/>
    <w:rsid w:val="00090088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0F5E1F"/>
    <w:rsid w:val="00100918"/>
    <w:rsid w:val="00102D9D"/>
    <w:rsid w:val="001039D2"/>
    <w:rsid w:val="00103CF6"/>
    <w:rsid w:val="0010497B"/>
    <w:rsid w:val="00107218"/>
    <w:rsid w:val="00112CD5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7274"/>
    <w:rsid w:val="001710A6"/>
    <w:rsid w:val="0017144D"/>
    <w:rsid w:val="00172E35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47C7"/>
    <w:rsid w:val="001E116D"/>
    <w:rsid w:val="001E6E4C"/>
    <w:rsid w:val="001F13B1"/>
    <w:rsid w:val="001F6C41"/>
    <w:rsid w:val="002061BB"/>
    <w:rsid w:val="0021177A"/>
    <w:rsid w:val="00214899"/>
    <w:rsid w:val="002157C4"/>
    <w:rsid w:val="00215E72"/>
    <w:rsid w:val="002165DC"/>
    <w:rsid w:val="002170D8"/>
    <w:rsid w:val="00222E4F"/>
    <w:rsid w:val="00223164"/>
    <w:rsid w:val="00223814"/>
    <w:rsid w:val="0022530A"/>
    <w:rsid w:val="00230AB2"/>
    <w:rsid w:val="00233F5D"/>
    <w:rsid w:val="002340D6"/>
    <w:rsid w:val="00237E53"/>
    <w:rsid w:val="0024647B"/>
    <w:rsid w:val="00252231"/>
    <w:rsid w:val="0025283C"/>
    <w:rsid w:val="00254DE2"/>
    <w:rsid w:val="00255628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C4B71"/>
    <w:rsid w:val="002D1D21"/>
    <w:rsid w:val="002E0F13"/>
    <w:rsid w:val="002F2400"/>
    <w:rsid w:val="002F2935"/>
    <w:rsid w:val="002F2ED8"/>
    <w:rsid w:val="002F4D00"/>
    <w:rsid w:val="002F733B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050B"/>
    <w:rsid w:val="003713FE"/>
    <w:rsid w:val="0037510A"/>
    <w:rsid w:val="00376040"/>
    <w:rsid w:val="00376DB2"/>
    <w:rsid w:val="00385CA2"/>
    <w:rsid w:val="00391E25"/>
    <w:rsid w:val="00394E16"/>
    <w:rsid w:val="0039622B"/>
    <w:rsid w:val="00396E3B"/>
    <w:rsid w:val="00397640"/>
    <w:rsid w:val="003A7752"/>
    <w:rsid w:val="003B1273"/>
    <w:rsid w:val="003B6717"/>
    <w:rsid w:val="003C01AD"/>
    <w:rsid w:val="003C1447"/>
    <w:rsid w:val="003C273D"/>
    <w:rsid w:val="003C61A6"/>
    <w:rsid w:val="003D3B53"/>
    <w:rsid w:val="003E01D0"/>
    <w:rsid w:val="003E289D"/>
    <w:rsid w:val="003E2B47"/>
    <w:rsid w:val="003F1989"/>
    <w:rsid w:val="003F7AE0"/>
    <w:rsid w:val="00400743"/>
    <w:rsid w:val="00402652"/>
    <w:rsid w:val="004030A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0AE1"/>
    <w:rsid w:val="00485DBB"/>
    <w:rsid w:val="004B183D"/>
    <w:rsid w:val="004B230D"/>
    <w:rsid w:val="004B52E3"/>
    <w:rsid w:val="004C70CF"/>
    <w:rsid w:val="004D262B"/>
    <w:rsid w:val="004D4FE2"/>
    <w:rsid w:val="004D6759"/>
    <w:rsid w:val="004E6E25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052"/>
    <w:rsid w:val="00580F64"/>
    <w:rsid w:val="00581C31"/>
    <w:rsid w:val="00584383"/>
    <w:rsid w:val="00586730"/>
    <w:rsid w:val="00590546"/>
    <w:rsid w:val="00592583"/>
    <w:rsid w:val="005933BB"/>
    <w:rsid w:val="005A0113"/>
    <w:rsid w:val="005A1F59"/>
    <w:rsid w:val="005A383F"/>
    <w:rsid w:val="005B4B6D"/>
    <w:rsid w:val="005B4D08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3189"/>
    <w:rsid w:val="00617EF3"/>
    <w:rsid w:val="006216D0"/>
    <w:rsid w:val="00630EA9"/>
    <w:rsid w:val="00631429"/>
    <w:rsid w:val="00632DC3"/>
    <w:rsid w:val="00633F70"/>
    <w:rsid w:val="00635DA2"/>
    <w:rsid w:val="00641A6B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77B4A"/>
    <w:rsid w:val="0068427B"/>
    <w:rsid w:val="006848C3"/>
    <w:rsid w:val="00686044"/>
    <w:rsid w:val="0068630C"/>
    <w:rsid w:val="00687DA6"/>
    <w:rsid w:val="00691C73"/>
    <w:rsid w:val="006933F7"/>
    <w:rsid w:val="006A3EE7"/>
    <w:rsid w:val="006A7565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00EF1"/>
    <w:rsid w:val="007164F7"/>
    <w:rsid w:val="00720D9E"/>
    <w:rsid w:val="00721BFF"/>
    <w:rsid w:val="00725D3F"/>
    <w:rsid w:val="00726770"/>
    <w:rsid w:val="00727779"/>
    <w:rsid w:val="00727E81"/>
    <w:rsid w:val="007308CE"/>
    <w:rsid w:val="007322C9"/>
    <w:rsid w:val="007428E3"/>
    <w:rsid w:val="00750A39"/>
    <w:rsid w:val="00752386"/>
    <w:rsid w:val="0075363E"/>
    <w:rsid w:val="00754619"/>
    <w:rsid w:val="00757029"/>
    <w:rsid w:val="00764E05"/>
    <w:rsid w:val="00767F96"/>
    <w:rsid w:val="007730AB"/>
    <w:rsid w:val="0077344C"/>
    <w:rsid w:val="007771EE"/>
    <w:rsid w:val="00786B54"/>
    <w:rsid w:val="00786CA3"/>
    <w:rsid w:val="00790C9D"/>
    <w:rsid w:val="007916A8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2942"/>
    <w:rsid w:val="007D50B5"/>
    <w:rsid w:val="007D6604"/>
    <w:rsid w:val="007D7800"/>
    <w:rsid w:val="007E11FB"/>
    <w:rsid w:val="007E1B20"/>
    <w:rsid w:val="007F31A8"/>
    <w:rsid w:val="007F61F8"/>
    <w:rsid w:val="007F7A18"/>
    <w:rsid w:val="00802B80"/>
    <w:rsid w:val="008031C0"/>
    <w:rsid w:val="00803AD6"/>
    <w:rsid w:val="00804D33"/>
    <w:rsid w:val="00806F9E"/>
    <w:rsid w:val="00810055"/>
    <w:rsid w:val="0081508F"/>
    <w:rsid w:val="008156A0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66025"/>
    <w:rsid w:val="00870424"/>
    <w:rsid w:val="008729AD"/>
    <w:rsid w:val="0087666F"/>
    <w:rsid w:val="00876F05"/>
    <w:rsid w:val="008770DC"/>
    <w:rsid w:val="00885B30"/>
    <w:rsid w:val="00886714"/>
    <w:rsid w:val="008915E2"/>
    <w:rsid w:val="00895FD6"/>
    <w:rsid w:val="00897607"/>
    <w:rsid w:val="008A7E1B"/>
    <w:rsid w:val="008B4D53"/>
    <w:rsid w:val="008B6062"/>
    <w:rsid w:val="008B6783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027F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B2A55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278F"/>
    <w:rsid w:val="00A22BFE"/>
    <w:rsid w:val="00A31883"/>
    <w:rsid w:val="00A3466C"/>
    <w:rsid w:val="00A37EF5"/>
    <w:rsid w:val="00A42A56"/>
    <w:rsid w:val="00A527F8"/>
    <w:rsid w:val="00A53645"/>
    <w:rsid w:val="00A61C12"/>
    <w:rsid w:val="00A61D5D"/>
    <w:rsid w:val="00A6559D"/>
    <w:rsid w:val="00A65C99"/>
    <w:rsid w:val="00A66F02"/>
    <w:rsid w:val="00A7470F"/>
    <w:rsid w:val="00A82232"/>
    <w:rsid w:val="00A85E61"/>
    <w:rsid w:val="00A8638C"/>
    <w:rsid w:val="00A9197C"/>
    <w:rsid w:val="00A93E7F"/>
    <w:rsid w:val="00A968DC"/>
    <w:rsid w:val="00AA461F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E57EF"/>
    <w:rsid w:val="00AF0714"/>
    <w:rsid w:val="00AF13CE"/>
    <w:rsid w:val="00B0551E"/>
    <w:rsid w:val="00B05FA3"/>
    <w:rsid w:val="00B1114B"/>
    <w:rsid w:val="00B124E9"/>
    <w:rsid w:val="00B157D1"/>
    <w:rsid w:val="00B15CC8"/>
    <w:rsid w:val="00B21A81"/>
    <w:rsid w:val="00B24C9B"/>
    <w:rsid w:val="00B34B3C"/>
    <w:rsid w:val="00B35674"/>
    <w:rsid w:val="00B35D16"/>
    <w:rsid w:val="00B40886"/>
    <w:rsid w:val="00B41B80"/>
    <w:rsid w:val="00B42AD1"/>
    <w:rsid w:val="00B46FA5"/>
    <w:rsid w:val="00B475C5"/>
    <w:rsid w:val="00B50499"/>
    <w:rsid w:val="00B56ACA"/>
    <w:rsid w:val="00B56C9C"/>
    <w:rsid w:val="00B61AC4"/>
    <w:rsid w:val="00B629C6"/>
    <w:rsid w:val="00B67500"/>
    <w:rsid w:val="00B70067"/>
    <w:rsid w:val="00B70F2E"/>
    <w:rsid w:val="00B7146C"/>
    <w:rsid w:val="00B71AEC"/>
    <w:rsid w:val="00B7687A"/>
    <w:rsid w:val="00B77E8E"/>
    <w:rsid w:val="00B80E22"/>
    <w:rsid w:val="00B81860"/>
    <w:rsid w:val="00B842DD"/>
    <w:rsid w:val="00B86168"/>
    <w:rsid w:val="00B87EA6"/>
    <w:rsid w:val="00B93A4A"/>
    <w:rsid w:val="00B93BE6"/>
    <w:rsid w:val="00BA4B15"/>
    <w:rsid w:val="00BA7FC8"/>
    <w:rsid w:val="00BB27BA"/>
    <w:rsid w:val="00BC2CB7"/>
    <w:rsid w:val="00BC51D3"/>
    <w:rsid w:val="00BC69D8"/>
    <w:rsid w:val="00BD2897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27C4D"/>
    <w:rsid w:val="00C30D50"/>
    <w:rsid w:val="00C34640"/>
    <w:rsid w:val="00C3599E"/>
    <w:rsid w:val="00C44644"/>
    <w:rsid w:val="00C447CC"/>
    <w:rsid w:val="00C52137"/>
    <w:rsid w:val="00C52850"/>
    <w:rsid w:val="00C55EFF"/>
    <w:rsid w:val="00C567B0"/>
    <w:rsid w:val="00C56C9E"/>
    <w:rsid w:val="00C61B2B"/>
    <w:rsid w:val="00C62030"/>
    <w:rsid w:val="00C72188"/>
    <w:rsid w:val="00C74A38"/>
    <w:rsid w:val="00C75A5C"/>
    <w:rsid w:val="00C75AF2"/>
    <w:rsid w:val="00C85973"/>
    <w:rsid w:val="00C90B31"/>
    <w:rsid w:val="00C92974"/>
    <w:rsid w:val="00C950AC"/>
    <w:rsid w:val="00C9557B"/>
    <w:rsid w:val="00CA0E8E"/>
    <w:rsid w:val="00CA1CFE"/>
    <w:rsid w:val="00CB37EE"/>
    <w:rsid w:val="00CB5719"/>
    <w:rsid w:val="00CB7300"/>
    <w:rsid w:val="00CC0149"/>
    <w:rsid w:val="00CC11DE"/>
    <w:rsid w:val="00CC1A80"/>
    <w:rsid w:val="00CC60E3"/>
    <w:rsid w:val="00CC6A02"/>
    <w:rsid w:val="00CD5ACD"/>
    <w:rsid w:val="00CD7EB4"/>
    <w:rsid w:val="00CE7982"/>
    <w:rsid w:val="00CE7BD4"/>
    <w:rsid w:val="00CF0AA7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206F"/>
    <w:rsid w:val="00D33596"/>
    <w:rsid w:val="00D4032E"/>
    <w:rsid w:val="00D4424A"/>
    <w:rsid w:val="00D47052"/>
    <w:rsid w:val="00D50300"/>
    <w:rsid w:val="00D50F6A"/>
    <w:rsid w:val="00D61DB7"/>
    <w:rsid w:val="00D62969"/>
    <w:rsid w:val="00D77BDA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2EDF"/>
    <w:rsid w:val="00DE6E59"/>
    <w:rsid w:val="00DF46F8"/>
    <w:rsid w:val="00DF5644"/>
    <w:rsid w:val="00DF7F94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021F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091"/>
    <w:rsid w:val="00ED1C39"/>
    <w:rsid w:val="00ED2749"/>
    <w:rsid w:val="00ED3C49"/>
    <w:rsid w:val="00ED42F2"/>
    <w:rsid w:val="00ED4E67"/>
    <w:rsid w:val="00ED7D46"/>
    <w:rsid w:val="00EE0104"/>
    <w:rsid w:val="00EF01BF"/>
    <w:rsid w:val="00EF0EF3"/>
    <w:rsid w:val="00EF1BD4"/>
    <w:rsid w:val="00F1175E"/>
    <w:rsid w:val="00F14162"/>
    <w:rsid w:val="00F14C05"/>
    <w:rsid w:val="00F14DCB"/>
    <w:rsid w:val="00F241EE"/>
    <w:rsid w:val="00F26CB8"/>
    <w:rsid w:val="00F31B6B"/>
    <w:rsid w:val="00F346C2"/>
    <w:rsid w:val="00F40BA2"/>
    <w:rsid w:val="00F40D51"/>
    <w:rsid w:val="00F461F9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D55"/>
    <w:rsid w:val="00F860C5"/>
    <w:rsid w:val="00F90EED"/>
    <w:rsid w:val="00F9562D"/>
    <w:rsid w:val="00F966FA"/>
    <w:rsid w:val="00FA3174"/>
    <w:rsid w:val="00FA6FFD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yellow">
      <v:stroke color="yellow"/>
      <o:colormru v:ext="edit" colors="#003bb0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31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52231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252231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252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522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31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252231"/>
    <w:rPr>
      <w:color w:val="0000FF"/>
      <w:u w:val="single"/>
    </w:rPr>
  </w:style>
  <w:style w:type="paragraph" w:styleId="BodyText">
    <w:name w:val="Body Text"/>
    <w:basedOn w:val="Normal"/>
    <w:link w:val="BodyTextChar"/>
    <w:rsid w:val="00252231"/>
    <w:pPr>
      <w:jc w:val="center"/>
    </w:pPr>
    <w:rPr>
      <w:b/>
      <w:szCs w:val="20"/>
    </w:rPr>
  </w:style>
  <w:style w:type="paragraph" w:styleId="Footer">
    <w:name w:val="footer"/>
    <w:basedOn w:val="Normal"/>
    <w:rsid w:val="0025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231"/>
  </w:style>
  <w:style w:type="paragraph" w:styleId="Header">
    <w:name w:val="header"/>
    <w:basedOn w:val="Normal"/>
    <w:link w:val="HeaderChar"/>
    <w:uiPriority w:val="99"/>
    <w:rsid w:val="002522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2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2231"/>
    <w:rPr>
      <w:vertAlign w:val="superscript"/>
    </w:rPr>
  </w:style>
  <w:style w:type="paragraph" w:styleId="Subtitle">
    <w:name w:val="Subtitle"/>
    <w:basedOn w:val="Normal"/>
    <w:qFormat/>
    <w:rsid w:val="00252231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252231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252231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252231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252231"/>
  </w:style>
  <w:style w:type="paragraph" w:styleId="BodyText3">
    <w:name w:val="Body Text 3"/>
    <w:basedOn w:val="Normal"/>
    <w:rsid w:val="002522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5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2231"/>
    <w:pPr>
      <w:spacing w:after="120"/>
      <w:ind w:left="283"/>
    </w:pPr>
  </w:style>
  <w:style w:type="character" w:customStyle="1" w:styleId="do1">
    <w:name w:val="do1"/>
    <w:basedOn w:val="DefaultParagraphFont"/>
    <w:rsid w:val="00252231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252231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252231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52231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252231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pmif.anpm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u3dsojy/legea-contenciosului-administrativ-nr-554-2004?d=2018-12-1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C74D-628A-453C-80AB-7C85FD62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corina.necula</cp:lastModifiedBy>
  <cp:revision>2</cp:revision>
  <cp:lastPrinted>2020-04-03T07:09:00Z</cp:lastPrinted>
  <dcterms:created xsi:type="dcterms:W3CDTF">2020-04-03T09:26:00Z</dcterms:created>
  <dcterms:modified xsi:type="dcterms:W3CDTF">2020-04-03T09:26:00Z</dcterms:modified>
</cp:coreProperties>
</file>