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3E25FC95"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2361A8">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38058526" r:id="rId10"/>
        </w:pict>
      </w:r>
      <w:r w:rsidR="002361A8">
        <w:rPr>
          <w:noProof/>
        </w:rPr>
        <w:drawing>
          <wp:anchor distT="0" distB="0" distL="114300" distR="114300" simplePos="0" relativeHeight="251657216" behindDoc="0" locked="0" layoutInCell="1" allowOverlap="1" wp14:anchorId="57F9760A" wp14:editId="5104BF26">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6C995EED" w:rsidR="00687A1B" w:rsidRPr="008633C2"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3F7450" w:rsidRPr="003F7450">
        <w:rPr>
          <w:rFonts w:ascii="Arial" w:hAnsi="Arial" w:cs="Arial"/>
          <w:b/>
          <w:bCs/>
          <w:sz w:val="24"/>
          <w:szCs w:val="24"/>
          <w:lang w:val="ro-RO" w:eastAsia="en-GB"/>
        </w:rPr>
        <w:t>12113/16.032.2023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bookmarkStart w:id="0" w:name="_GoBack"/>
      <w:bookmarkEnd w:id="0"/>
    </w:p>
    <w:p w14:paraId="160B2F49" w14:textId="6A74EBBB" w:rsidR="00D44574" w:rsidRPr="003B02B9" w:rsidRDefault="00687A1B" w:rsidP="00D44574">
      <w:pPr>
        <w:spacing w:after="0" w:line="240" w:lineRule="auto"/>
        <w:jc w:val="center"/>
        <w:rPr>
          <w:rStyle w:val="Strong"/>
          <w:rFonts w:ascii="Arial" w:hAnsi="Arial" w:cs="Arial"/>
          <w:sz w:val="24"/>
          <w:szCs w:val="24"/>
          <w:lang w:val="it-IT"/>
        </w:rPr>
      </w:pPr>
      <w:r w:rsidRPr="003B02B9">
        <w:rPr>
          <w:rStyle w:val="Strong"/>
          <w:rFonts w:ascii="Arial" w:hAnsi="Arial" w:cs="Arial"/>
          <w:sz w:val="24"/>
          <w:szCs w:val="24"/>
          <w:lang w:val="it-IT"/>
        </w:rPr>
        <w:t xml:space="preserve">Nr: </w:t>
      </w:r>
      <w:r w:rsidR="003B02B9" w:rsidRPr="003B02B9">
        <w:rPr>
          <w:rStyle w:val="Strong"/>
          <w:rFonts w:ascii="Arial" w:hAnsi="Arial" w:cs="Arial"/>
          <w:sz w:val="24"/>
          <w:szCs w:val="24"/>
          <w:lang w:val="it-IT"/>
        </w:rPr>
        <w:t>45/16.02.2023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7C65AF97" w:rsidR="00687A1B" w:rsidRPr="008633C2" w:rsidRDefault="00826BF7" w:rsidP="00687A1B">
      <w:pPr>
        <w:spacing w:after="0" w:line="240" w:lineRule="auto"/>
        <w:ind w:firstLine="720"/>
        <w:jc w:val="both"/>
        <w:rPr>
          <w:rFonts w:ascii="Arial" w:hAnsi="Arial" w:cs="Arial"/>
          <w:sz w:val="24"/>
          <w:szCs w:val="24"/>
        </w:rPr>
      </w:pPr>
      <w:r w:rsidRPr="00BD0C3A">
        <w:rPr>
          <w:rFonts w:ascii="Arial" w:hAnsi="Arial" w:cs="Arial"/>
          <w:sz w:val="24"/>
          <w:szCs w:val="24"/>
          <w:lang w:val="ro-RO" w:eastAsia="en-GB"/>
        </w:rPr>
        <w:t xml:space="preserve">Ca urmare a solicitării depuse de </w:t>
      </w:r>
      <w:r w:rsidR="0034615F" w:rsidRPr="0034615F">
        <w:rPr>
          <w:rFonts w:ascii="Arial" w:hAnsi="Arial" w:cs="Arial"/>
          <w:b/>
          <w:color w:val="000000"/>
          <w:sz w:val="24"/>
          <w:szCs w:val="24"/>
          <w:lang w:val="pt-BR"/>
        </w:rPr>
        <w:t>SC LAZĂR REAL ESTATE SRL</w:t>
      </w:r>
      <w:r w:rsidRPr="00BD0C3A">
        <w:rPr>
          <w:rFonts w:ascii="Arial" w:hAnsi="Arial" w:cs="Arial"/>
          <w:b/>
          <w:sz w:val="24"/>
          <w:szCs w:val="24"/>
          <w:lang w:val="ro-RO"/>
        </w:rPr>
        <w:t xml:space="preserve"> </w:t>
      </w:r>
      <w:r>
        <w:rPr>
          <w:rFonts w:ascii="Arial" w:hAnsi="Arial" w:cs="Arial"/>
          <w:b/>
          <w:sz w:val="24"/>
          <w:szCs w:val="24"/>
          <w:lang w:val="ro-RO"/>
        </w:rPr>
        <w:t>prin SURUGIU MIHAI</w:t>
      </w:r>
      <w:r w:rsidRPr="00BD0C3A">
        <w:rPr>
          <w:rFonts w:ascii="Arial" w:hAnsi="Arial" w:cs="Arial"/>
          <w:sz w:val="24"/>
          <w:szCs w:val="24"/>
          <w:lang w:val="pl-PL" w:eastAsia="en-GB"/>
        </w:rPr>
        <w:t xml:space="preserve">, pentru proiectul </w:t>
      </w:r>
      <w:r w:rsidRPr="00BD0C3A">
        <w:rPr>
          <w:rFonts w:ascii="Arial" w:hAnsi="Arial" w:cs="Arial"/>
          <w:b/>
          <w:color w:val="000000"/>
          <w:sz w:val="24"/>
          <w:szCs w:val="24"/>
          <w:lang w:val="ro-RO"/>
        </w:rPr>
        <w:t>„</w:t>
      </w:r>
      <w:r w:rsidR="0034615F">
        <w:rPr>
          <w:rFonts w:ascii="Arial" w:hAnsi="Arial" w:cs="Arial"/>
          <w:b/>
          <w:color w:val="000000"/>
          <w:sz w:val="24"/>
          <w:szCs w:val="24"/>
          <w:lang w:val="ro-RO"/>
        </w:rPr>
        <w:t>P</w:t>
      </w:r>
      <w:r>
        <w:rPr>
          <w:rFonts w:ascii="Arial" w:hAnsi="Arial" w:cs="Arial"/>
          <w:b/>
          <w:color w:val="000000"/>
          <w:sz w:val="24"/>
          <w:szCs w:val="24"/>
          <w:lang w:val="ro-RO"/>
        </w:rPr>
        <w:t>uț forat</w:t>
      </w:r>
      <w:r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w:t>
      </w:r>
      <w:r w:rsidR="0034615F">
        <w:rPr>
          <w:rFonts w:ascii="Arial" w:hAnsi="Arial" w:cs="Arial"/>
          <w:sz w:val="24"/>
          <w:szCs w:val="24"/>
          <w:lang w:val="pl-PL" w:eastAsia="en-GB"/>
        </w:rPr>
        <w:t xml:space="preserve"> </w:t>
      </w:r>
      <w:r w:rsidR="001C1EC5">
        <w:rPr>
          <w:rFonts w:ascii="Arial" w:hAnsi="Arial" w:cs="Arial"/>
          <w:sz w:val="24"/>
          <w:szCs w:val="24"/>
          <w:lang w:val="pl-PL" w:eastAsia="en-GB"/>
        </w:rPr>
        <w:t xml:space="preserve">în </w:t>
      </w:r>
      <w:r w:rsidR="0034615F" w:rsidRPr="001C1EC5">
        <w:rPr>
          <w:rFonts w:ascii="Arial" w:hAnsi="Arial" w:cs="Arial"/>
          <w:sz w:val="24"/>
          <w:szCs w:val="24"/>
          <w:lang w:val="pt-BR"/>
        </w:rPr>
        <w:t>com. Găneasa, sat Șindrilița, T 17, P 58/13, nr. cad. 54600, jud. Ilfov</w:t>
      </w:r>
      <w:r w:rsidR="001C1EC5" w:rsidRPr="001C1EC5">
        <w:rPr>
          <w:rFonts w:ascii="Arial" w:hAnsi="Arial" w:cs="Arial"/>
          <w:sz w:val="24"/>
          <w:szCs w:val="24"/>
          <w:lang w:val="pt-BR"/>
        </w:rPr>
        <w:t>,</w:t>
      </w:r>
      <w:r w:rsidRPr="00BD0C3A">
        <w:rPr>
          <w:rFonts w:ascii="Arial" w:hAnsi="Arial" w:cs="Arial"/>
          <w:sz w:val="24"/>
          <w:szCs w:val="24"/>
          <w:lang w:val="ro-RO" w:eastAsia="en-GB"/>
        </w:rPr>
        <w:t xml:space="preserve"> înregistrată la A.P.M. Ilfov cu nr. </w:t>
      </w:r>
      <w:r w:rsidR="001C1EC5">
        <w:rPr>
          <w:rFonts w:ascii="Arial" w:hAnsi="Arial" w:cs="Arial"/>
          <w:sz w:val="24"/>
          <w:szCs w:val="24"/>
          <w:lang w:val="ro-RO" w:eastAsia="en-GB"/>
        </w:rPr>
        <w:t>121</w:t>
      </w:r>
      <w:r>
        <w:rPr>
          <w:rFonts w:ascii="Arial" w:hAnsi="Arial" w:cs="Arial"/>
          <w:color w:val="000000"/>
          <w:sz w:val="24"/>
          <w:szCs w:val="24"/>
          <w:lang w:val="ro-RO"/>
        </w:rPr>
        <w:t>13</w:t>
      </w:r>
      <w:r w:rsidR="001C1EC5">
        <w:rPr>
          <w:rFonts w:ascii="Arial" w:hAnsi="Arial" w:cs="Arial"/>
          <w:color w:val="000000"/>
          <w:sz w:val="24"/>
          <w:szCs w:val="24"/>
          <w:lang w:val="ro-RO"/>
        </w:rPr>
        <w:t>/16.06.2022</w:t>
      </w:r>
      <w:r>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4C3B6D07"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1C1EC5" w:rsidRPr="003F7450">
        <w:rPr>
          <w:rFonts w:ascii="Arial" w:hAnsi="Arial" w:cs="Arial"/>
          <w:b/>
          <w:sz w:val="24"/>
          <w:szCs w:val="24"/>
          <w:lang w:val="ro-RO"/>
        </w:rPr>
        <w:t>02</w:t>
      </w:r>
      <w:r w:rsidR="00157332" w:rsidRPr="003F7450">
        <w:rPr>
          <w:rFonts w:ascii="Arial" w:hAnsi="Arial" w:cs="Arial"/>
          <w:b/>
          <w:sz w:val="24"/>
          <w:szCs w:val="24"/>
          <w:lang w:val="ro-RO"/>
        </w:rPr>
        <w:t>.</w:t>
      </w:r>
      <w:r w:rsidR="001C1EC5" w:rsidRPr="003F7450">
        <w:rPr>
          <w:rFonts w:ascii="Arial" w:hAnsi="Arial" w:cs="Arial"/>
          <w:b/>
          <w:sz w:val="24"/>
          <w:szCs w:val="24"/>
          <w:lang w:val="ro-RO"/>
        </w:rPr>
        <w:t>1</w:t>
      </w:r>
      <w:r w:rsidR="00826BF7" w:rsidRPr="003F7450">
        <w:rPr>
          <w:rFonts w:ascii="Arial" w:hAnsi="Arial" w:cs="Arial"/>
          <w:b/>
          <w:sz w:val="24"/>
          <w:szCs w:val="24"/>
          <w:lang w:val="ro-RO"/>
        </w:rPr>
        <w:t>1</w:t>
      </w:r>
      <w:r w:rsidR="00157332" w:rsidRPr="003F7450">
        <w:rPr>
          <w:rFonts w:ascii="Arial" w:hAnsi="Arial" w:cs="Arial"/>
          <w:b/>
          <w:sz w:val="24"/>
          <w:szCs w:val="24"/>
          <w:lang w:val="ro-RO"/>
        </w:rPr>
        <w:t>.202</w:t>
      </w:r>
      <w:r w:rsidR="001C1EC5" w:rsidRPr="003F7450">
        <w:rPr>
          <w:rFonts w:ascii="Arial" w:hAnsi="Arial" w:cs="Arial"/>
          <w:b/>
          <w:sz w:val="24"/>
          <w:szCs w:val="24"/>
          <w:lang w:val="ro-RO"/>
        </w:rPr>
        <w:t>2</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826BF7" w:rsidRPr="00BD0C3A">
        <w:rPr>
          <w:rFonts w:ascii="Arial" w:hAnsi="Arial" w:cs="Arial"/>
          <w:b/>
          <w:color w:val="000000"/>
          <w:sz w:val="24"/>
          <w:szCs w:val="24"/>
          <w:lang w:val="ro-RO"/>
        </w:rPr>
        <w:t>„</w:t>
      </w:r>
      <w:r w:rsidR="001C1EC5">
        <w:rPr>
          <w:rFonts w:ascii="Arial" w:hAnsi="Arial" w:cs="Arial"/>
          <w:b/>
          <w:color w:val="000000"/>
          <w:sz w:val="24"/>
          <w:szCs w:val="24"/>
          <w:lang w:val="ro-RO"/>
        </w:rPr>
        <w:t>P</w:t>
      </w:r>
      <w:r w:rsidR="00826BF7">
        <w:rPr>
          <w:rFonts w:ascii="Arial" w:hAnsi="Arial" w:cs="Arial"/>
          <w:b/>
          <w:color w:val="000000"/>
          <w:sz w:val="24"/>
          <w:szCs w:val="24"/>
          <w:lang w:val="ro-RO"/>
        </w:rPr>
        <w:t>uț forat</w:t>
      </w:r>
      <w:r w:rsidR="00826BF7" w:rsidRPr="00BD0C3A">
        <w:rPr>
          <w:rFonts w:ascii="Arial" w:hAnsi="Arial" w:cs="Arial"/>
          <w:b/>
          <w:color w:val="000000"/>
          <w:sz w:val="24"/>
          <w:szCs w:val="24"/>
          <w:lang w:val="ro-RO"/>
        </w:rPr>
        <w:t>”</w:t>
      </w:r>
      <w:r w:rsidR="00826BF7" w:rsidRPr="00BD0C3A">
        <w:rPr>
          <w:rFonts w:ascii="Arial" w:hAnsi="Arial" w:cs="Arial"/>
          <w:sz w:val="24"/>
          <w:szCs w:val="24"/>
          <w:lang w:val="pl-PL" w:eastAsia="en-GB"/>
        </w:rPr>
        <w:t xml:space="preserve"> propus a fi amplasat</w:t>
      </w:r>
      <w:r w:rsidR="001C1EC5">
        <w:rPr>
          <w:rFonts w:ascii="Arial" w:hAnsi="Arial" w:cs="Arial"/>
          <w:sz w:val="24"/>
          <w:szCs w:val="24"/>
          <w:lang w:val="pl-PL" w:eastAsia="en-GB"/>
        </w:rPr>
        <w:t xml:space="preserve"> în </w:t>
      </w:r>
      <w:r w:rsidR="001C1EC5" w:rsidRPr="001C1EC5">
        <w:rPr>
          <w:rFonts w:ascii="Arial" w:hAnsi="Arial" w:cs="Arial"/>
          <w:sz w:val="24"/>
          <w:szCs w:val="24"/>
          <w:lang w:val="pt-BR"/>
        </w:rPr>
        <w:t>com. Găneasa, sat Șindrilița, T 17, P 58/13, nr. cad. 54600, jud.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68DF305C"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00B77E19">
        <w:rPr>
          <w:rFonts w:ascii="Arial" w:hAnsi="Arial" w:cs="Arial"/>
          <w:b/>
          <w:sz w:val="24"/>
          <w:szCs w:val="24"/>
          <w:lang w:val="pl-PL" w:eastAsia="en-GB"/>
        </w:rPr>
        <w:t>2</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B77E19">
        <w:rPr>
          <w:rFonts w:ascii="Arial" w:hAnsi="Arial" w:cs="Arial"/>
          <w:b/>
          <w:sz w:val="24"/>
          <w:szCs w:val="24"/>
        </w:rPr>
        <w:t>d), subpunctul 3</w:t>
      </w:r>
      <w:r w:rsidR="00CC3218" w:rsidRPr="003A45A5">
        <w:rPr>
          <w:rFonts w:ascii="Arial" w:hAnsi="Arial" w:cs="Arial"/>
          <w:b/>
          <w:sz w:val="24"/>
          <w:szCs w:val="24"/>
        </w:rPr>
        <w:t xml:space="preserve"> - “</w:t>
      </w:r>
      <w:r w:rsidR="00B77E19">
        <w:rPr>
          <w:rFonts w:ascii="Arial" w:hAnsi="Arial" w:cs="Arial"/>
          <w:b/>
          <w:i/>
          <w:sz w:val="24"/>
          <w:szCs w:val="24"/>
        </w:rPr>
        <w:t>Foraje pentru alimentare cu apă</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4F22EBAD"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3F7450">
        <w:rPr>
          <w:rFonts w:ascii="Arial" w:hAnsi="Arial" w:cs="Arial"/>
          <w:sz w:val="24"/>
          <w:szCs w:val="24"/>
        </w:rPr>
        <w:t>.</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5B8AF019" w14:textId="77777777" w:rsidR="003F7450" w:rsidRDefault="00A95009" w:rsidP="003F7450">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5B4823" w:rsidRPr="003A45A5">
        <w:rPr>
          <w:rFonts w:ascii="Arial" w:eastAsia="Times New Roman" w:hAnsi="Arial" w:cs="Arial"/>
          <w:sz w:val="24"/>
          <w:szCs w:val="24"/>
          <w:lang w:eastAsia="ro-RO"/>
        </w:rPr>
        <w:t>cu</w:t>
      </w:r>
      <w:r w:rsidR="005B4823" w:rsidRPr="003A45A5">
        <w:rPr>
          <w:rFonts w:ascii="Arial" w:eastAsia="Times New Roman" w:hAnsi="Arial" w:cs="Arial"/>
          <w:b/>
          <w:sz w:val="24"/>
          <w:szCs w:val="24"/>
          <w:lang w:eastAsia="ro-RO"/>
        </w:rPr>
        <w:t xml:space="preserve"> </w:t>
      </w:r>
      <w:r w:rsidR="003F7450">
        <w:rPr>
          <w:rFonts w:ascii="Arial" w:eastAsia="Times New Roman" w:hAnsi="Arial" w:cs="Arial"/>
          <w:sz w:val="24"/>
          <w:szCs w:val="24"/>
          <w:lang w:eastAsia="ro-RO"/>
        </w:rPr>
        <w:t xml:space="preserve">adresa nr 11986/13.10.2022 emisa de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3F7450">
        <w:rPr>
          <w:rFonts w:ascii="Arial" w:eastAsia="Times New Roman" w:hAnsi="Arial" w:cs="Arial"/>
          <w:sz w:val="24"/>
          <w:szCs w:val="24"/>
          <w:lang w:eastAsia="ro-RO"/>
        </w:rPr>
        <w:t>:</w:t>
      </w:r>
    </w:p>
    <w:p w14:paraId="24638391" w14:textId="7C29E2FE" w:rsidR="00687A1B" w:rsidRPr="003A45A5" w:rsidRDefault="005B4823" w:rsidP="003F7450">
      <w:pPr>
        <w:spacing w:after="0" w:line="240" w:lineRule="auto"/>
        <w:ind w:firstLine="360"/>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lastRenderedPageBreak/>
        <w:t>1. Caracteristicile proiectului:</w:t>
      </w:r>
    </w:p>
    <w:p w14:paraId="5425372B" w14:textId="1A162660" w:rsidR="00687A1B"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2A61CE74" w14:textId="73DAD0C5" w:rsidR="0018379B" w:rsidRDefault="0018379B" w:rsidP="0048519A">
      <w:pPr>
        <w:spacing w:after="0" w:line="360" w:lineRule="auto"/>
        <w:jc w:val="both"/>
        <w:rPr>
          <w:rFonts w:ascii="Arial" w:hAnsi="Arial" w:cs="Arial"/>
          <w:bCs/>
          <w:color w:val="000000"/>
          <w:sz w:val="24"/>
          <w:szCs w:val="24"/>
          <w:lang w:val="pt-BR"/>
        </w:rPr>
      </w:pPr>
      <w:r w:rsidRPr="00B972CD">
        <w:rPr>
          <w:rFonts w:ascii="Arial" w:hAnsi="Arial" w:cs="Arial"/>
          <w:sz w:val="24"/>
          <w:szCs w:val="24"/>
        </w:rPr>
        <w:t>Terenul cu suprafața de 63 000 mp se află situat în intravilanul Comunei Găneasa, Sat Șindrilița, potrivit reglementărilor din PUZ, aprobat de Aviz Favorabil de Comisia Tehnică de Amenajare a Teritoriului și de Urbanism a județului Ilfov nr. 11341/4/c16/05 def din 29.11.2005 și Hotărârea Consiliului Local (HCL) nr. 06/03.03.2006</w:t>
      </w:r>
      <w:r>
        <w:rPr>
          <w:rFonts w:ascii="Arial" w:hAnsi="Arial" w:cs="Arial"/>
          <w:sz w:val="24"/>
          <w:szCs w:val="24"/>
        </w:rPr>
        <w:t xml:space="preserve"> și aparține în totalitate beneficiarului - </w:t>
      </w:r>
      <w:r w:rsidRPr="0018379B">
        <w:rPr>
          <w:rFonts w:ascii="Arial" w:hAnsi="Arial" w:cs="Arial"/>
          <w:bCs/>
          <w:color w:val="000000"/>
          <w:sz w:val="24"/>
          <w:szCs w:val="24"/>
          <w:lang w:val="pt-BR"/>
        </w:rPr>
        <w:t>SC LAZĂR REAL ESTATE SRL</w:t>
      </w:r>
      <w:r>
        <w:rPr>
          <w:rFonts w:ascii="Arial" w:hAnsi="Arial" w:cs="Arial"/>
          <w:bCs/>
          <w:color w:val="000000"/>
          <w:sz w:val="24"/>
          <w:szCs w:val="24"/>
          <w:lang w:val="pt-BR"/>
        </w:rPr>
        <w:t>.</w:t>
      </w:r>
    </w:p>
    <w:p w14:paraId="354FEFCF" w14:textId="4402ECE8" w:rsidR="006D4B12" w:rsidRPr="00B972CD" w:rsidRDefault="006D4B12" w:rsidP="0048519A">
      <w:pPr>
        <w:spacing w:after="0" w:line="360" w:lineRule="auto"/>
        <w:jc w:val="both"/>
        <w:rPr>
          <w:rFonts w:ascii="Arial" w:hAnsi="Arial" w:cs="Arial"/>
          <w:sz w:val="24"/>
          <w:szCs w:val="24"/>
        </w:rPr>
      </w:pPr>
      <w:r>
        <w:rPr>
          <w:rFonts w:ascii="Arial" w:hAnsi="Arial" w:cs="Arial"/>
          <w:bCs/>
          <w:color w:val="000000"/>
          <w:sz w:val="24"/>
          <w:szCs w:val="24"/>
          <w:lang w:val="pt-BR"/>
        </w:rPr>
        <w:t>Prim prezenta documentatie se doreste efectuarea unui foraj pentru alimentarea cu apa</w:t>
      </w:r>
      <w:r w:rsidR="004911DE">
        <w:rPr>
          <w:rFonts w:ascii="Arial" w:hAnsi="Arial" w:cs="Arial"/>
          <w:bCs/>
          <w:color w:val="000000"/>
          <w:sz w:val="24"/>
          <w:szCs w:val="24"/>
          <w:lang w:val="pt-BR"/>
        </w:rPr>
        <w:t xml:space="preserve"> in vederea asigurarii rezervei de apa pentru incendiu</w:t>
      </w:r>
      <w:r>
        <w:rPr>
          <w:rFonts w:ascii="Arial" w:hAnsi="Arial" w:cs="Arial"/>
          <w:bCs/>
          <w:color w:val="000000"/>
          <w:sz w:val="24"/>
          <w:szCs w:val="24"/>
          <w:lang w:val="pt-BR"/>
        </w:rPr>
        <w:t>:</w:t>
      </w:r>
    </w:p>
    <w:p w14:paraId="5ECAEFE3" w14:textId="77777777" w:rsidR="0018379B" w:rsidRPr="003A45A5" w:rsidRDefault="0018379B" w:rsidP="00687A1B">
      <w:pPr>
        <w:spacing w:after="0" w:line="240" w:lineRule="auto"/>
        <w:rPr>
          <w:rFonts w:ascii="Arial" w:hAnsi="Arial" w:cs="Arial"/>
          <w:i/>
          <w:sz w:val="24"/>
          <w:szCs w:val="24"/>
          <w:lang w:val="it-IT"/>
        </w:rPr>
      </w:pPr>
    </w:p>
    <w:p w14:paraId="0259E2C3" w14:textId="0E3D4E98" w:rsidR="00E72A39" w:rsidRPr="00E72A39" w:rsidRDefault="003F7450" w:rsidP="00E72A39">
      <w:pPr>
        <w:tabs>
          <w:tab w:val="left" w:pos="0"/>
          <w:tab w:val="left" w:pos="360"/>
        </w:tabs>
        <w:ind w:left="709"/>
        <w:rPr>
          <w:rFonts w:ascii="Arial" w:hAnsi="Arial" w:cs="Arial"/>
          <w:b/>
          <w:color w:val="000000"/>
          <w:sz w:val="24"/>
          <w:szCs w:val="24"/>
        </w:rPr>
      </w:pPr>
      <w:r>
        <w:rPr>
          <w:rFonts w:ascii="Arial" w:hAnsi="Arial" w:cs="Arial"/>
          <w:b/>
          <w:color w:val="000000"/>
          <w:sz w:val="24"/>
          <w:szCs w:val="24"/>
        </w:rPr>
        <w:t>Bilanț teritorial existent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63"/>
        <w:gridCol w:w="1814"/>
        <w:gridCol w:w="1699"/>
      </w:tblGrid>
      <w:tr w:rsidR="0018379B" w:rsidRPr="006D4B12" w14:paraId="6657FB05" w14:textId="77777777" w:rsidTr="005D79F8">
        <w:trPr>
          <w:jc w:val="center"/>
        </w:trPr>
        <w:tc>
          <w:tcPr>
            <w:tcW w:w="8390" w:type="dxa"/>
            <w:gridSpan w:val="4"/>
            <w:shd w:val="clear" w:color="auto" w:fill="auto"/>
          </w:tcPr>
          <w:p w14:paraId="33087407" w14:textId="77777777" w:rsidR="0018379B" w:rsidRPr="006D4B12" w:rsidRDefault="0018379B" w:rsidP="004911DE">
            <w:pPr>
              <w:spacing w:after="0"/>
              <w:jc w:val="center"/>
              <w:rPr>
                <w:rFonts w:ascii="Arial" w:hAnsi="Arial" w:cs="Arial"/>
                <w:b/>
                <w:bCs/>
                <w:color w:val="FF0000"/>
                <w:sz w:val="20"/>
                <w:szCs w:val="20"/>
              </w:rPr>
            </w:pPr>
            <w:r w:rsidRPr="006D4B12">
              <w:rPr>
                <w:rFonts w:ascii="Arial" w:hAnsi="Arial" w:cs="Arial"/>
                <w:b/>
                <w:bCs/>
                <w:color w:val="000000"/>
                <w:sz w:val="20"/>
                <w:szCs w:val="20"/>
              </w:rPr>
              <w:t>SUPRAFATA TOTALĂ 63 000 MP</w:t>
            </w:r>
          </w:p>
        </w:tc>
      </w:tr>
      <w:tr w:rsidR="0018379B" w:rsidRPr="006D4B12" w14:paraId="2027CC3B" w14:textId="77777777" w:rsidTr="006D4B12">
        <w:trPr>
          <w:trHeight w:val="1113"/>
          <w:jc w:val="center"/>
        </w:trPr>
        <w:tc>
          <w:tcPr>
            <w:tcW w:w="3114" w:type="dxa"/>
            <w:shd w:val="clear" w:color="auto" w:fill="auto"/>
          </w:tcPr>
          <w:p w14:paraId="5845DDC9" w14:textId="77777777" w:rsidR="0018379B" w:rsidRPr="006D4B12" w:rsidRDefault="0018379B" w:rsidP="004911DE">
            <w:pPr>
              <w:spacing w:after="0"/>
              <w:jc w:val="center"/>
              <w:rPr>
                <w:rFonts w:ascii="Arial" w:hAnsi="Arial" w:cs="Arial"/>
                <w:color w:val="000000"/>
                <w:sz w:val="20"/>
                <w:szCs w:val="20"/>
              </w:rPr>
            </w:pPr>
          </w:p>
        </w:tc>
        <w:tc>
          <w:tcPr>
            <w:tcW w:w="1763" w:type="dxa"/>
            <w:shd w:val="clear" w:color="auto" w:fill="auto"/>
          </w:tcPr>
          <w:p w14:paraId="0B5A423D"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Faza I (ÎN CURS DE EXECUȚIE CONF. AC 23/10.06.2021</w:t>
            </w:r>
          </w:p>
        </w:tc>
        <w:tc>
          <w:tcPr>
            <w:tcW w:w="1814" w:type="dxa"/>
            <w:shd w:val="clear" w:color="auto" w:fill="auto"/>
          </w:tcPr>
          <w:p w14:paraId="20ABC5F3"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Faza II</w:t>
            </w:r>
          </w:p>
          <w:p w14:paraId="78D5C00F"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ÎN CURS DE AUTORIZARE</w:t>
            </w:r>
          </w:p>
        </w:tc>
        <w:tc>
          <w:tcPr>
            <w:tcW w:w="1699" w:type="dxa"/>
            <w:shd w:val="clear" w:color="auto" w:fill="auto"/>
          </w:tcPr>
          <w:p w14:paraId="3B35F5E9" w14:textId="77777777" w:rsidR="0018379B" w:rsidRPr="006D4B12" w:rsidRDefault="0018379B" w:rsidP="004911DE">
            <w:pPr>
              <w:spacing w:after="0"/>
              <w:jc w:val="center"/>
              <w:rPr>
                <w:rFonts w:ascii="Arial" w:hAnsi="Arial" w:cs="Arial"/>
                <w:b/>
                <w:color w:val="000000"/>
                <w:sz w:val="20"/>
                <w:szCs w:val="20"/>
              </w:rPr>
            </w:pPr>
            <w:r w:rsidRPr="006D4B12">
              <w:rPr>
                <w:rFonts w:ascii="Arial" w:hAnsi="Arial" w:cs="Arial"/>
                <w:b/>
                <w:color w:val="000000"/>
                <w:sz w:val="20"/>
                <w:szCs w:val="20"/>
              </w:rPr>
              <w:t>SUPRAFAȚĂ REZULTATĂ</w:t>
            </w:r>
          </w:p>
        </w:tc>
      </w:tr>
      <w:tr w:rsidR="0018379B" w:rsidRPr="006D4B12" w14:paraId="47401010" w14:textId="77777777" w:rsidTr="006D4B12">
        <w:trPr>
          <w:trHeight w:val="474"/>
          <w:jc w:val="center"/>
        </w:trPr>
        <w:tc>
          <w:tcPr>
            <w:tcW w:w="3114" w:type="dxa"/>
            <w:shd w:val="clear" w:color="auto" w:fill="auto"/>
          </w:tcPr>
          <w:p w14:paraId="31D2AC15"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 xml:space="preserve">SUPRAFAȚĂ CONSTRUITĂ HALĂ </w:t>
            </w:r>
          </w:p>
        </w:tc>
        <w:tc>
          <w:tcPr>
            <w:tcW w:w="1763" w:type="dxa"/>
            <w:shd w:val="clear" w:color="auto" w:fill="auto"/>
          </w:tcPr>
          <w:p w14:paraId="7A206164"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23 005 MP</w:t>
            </w:r>
          </w:p>
          <w:p w14:paraId="47452945" w14:textId="77777777" w:rsidR="0018379B" w:rsidRPr="006D4B12" w:rsidRDefault="0018379B" w:rsidP="004911DE">
            <w:pPr>
              <w:spacing w:after="0"/>
              <w:jc w:val="center"/>
              <w:rPr>
                <w:rFonts w:ascii="Arial" w:hAnsi="Arial" w:cs="Arial"/>
                <w:color w:val="000000"/>
                <w:sz w:val="20"/>
                <w:szCs w:val="20"/>
              </w:rPr>
            </w:pPr>
          </w:p>
        </w:tc>
        <w:tc>
          <w:tcPr>
            <w:tcW w:w="1814" w:type="dxa"/>
            <w:shd w:val="clear" w:color="auto" w:fill="auto"/>
          </w:tcPr>
          <w:p w14:paraId="434D244B"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8495 MP</w:t>
            </w:r>
          </w:p>
          <w:p w14:paraId="01761E20" w14:textId="77777777" w:rsidR="0018379B" w:rsidRPr="006D4B12" w:rsidRDefault="0018379B" w:rsidP="004911DE">
            <w:pPr>
              <w:spacing w:after="0"/>
              <w:jc w:val="center"/>
              <w:rPr>
                <w:rFonts w:ascii="Arial" w:hAnsi="Arial" w:cs="Arial"/>
                <w:color w:val="000000"/>
                <w:sz w:val="20"/>
                <w:szCs w:val="20"/>
              </w:rPr>
            </w:pPr>
          </w:p>
        </w:tc>
        <w:tc>
          <w:tcPr>
            <w:tcW w:w="1699" w:type="dxa"/>
            <w:shd w:val="clear" w:color="auto" w:fill="auto"/>
          </w:tcPr>
          <w:p w14:paraId="2B6E730A"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31 500 MP</w:t>
            </w:r>
          </w:p>
        </w:tc>
      </w:tr>
      <w:tr w:rsidR="0018379B" w:rsidRPr="006D4B12" w14:paraId="61B55F13" w14:textId="77777777" w:rsidTr="005D79F8">
        <w:trPr>
          <w:jc w:val="center"/>
        </w:trPr>
        <w:tc>
          <w:tcPr>
            <w:tcW w:w="3114" w:type="dxa"/>
            <w:shd w:val="clear" w:color="auto" w:fill="auto"/>
          </w:tcPr>
          <w:p w14:paraId="7FB51B73"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SUPRAFAȚĂ DESFĂȘURAȚĂ HALĂ</w:t>
            </w:r>
          </w:p>
        </w:tc>
        <w:tc>
          <w:tcPr>
            <w:tcW w:w="1763" w:type="dxa"/>
            <w:shd w:val="clear" w:color="auto" w:fill="auto"/>
          </w:tcPr>
          <w:p w14:paraId="61EB0702"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23 005 MP</w:t>
            </w:r>
          </w:p>
          <w:p w14:paraId="1078B7DD" w14:textId="77777777" w:rsidR="0018379B" w:rsidRPr="006D4B12" w:rsidRDefault="0018379B" w:rsidP="004911DE">
            <w:pPr>
              <w:spacing w:after="0"/>
              <w:jc w:val="center"/>
              <w:rPr>
                <w:rFonts w:ascii="Arial" w:hAnsi="Arial" w:cs="Arial"/>
                <w:bCs/>
                <w:color w:val="000000"/>
                <w:sz w:val="20"/>
                <w:szCs w:val="20"/>
              </w:rPr>
            </w:pPr>
          </w:p>
        </w:tc>
        <w:tc>
          <w:tcPr>
            <w:tcW w:w="1814" w:type="dxa"/>
            <w:shd w:val="clear" w:color="auto" w:fill="auto"/>
          </w:tcPr>
          <w:p w14:paraId="02324E7D"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8495 MP</w:t>
            </w:r>
          </w:p>
          <w:p w14:paraId="5EF9C389" w14:textId="77777777" w:rsidR="0018379B" w:rsidRPr="006D4B12" w:rsidRDefault="0018379B" w:rsidP="004911DE">
            <w:pPr>
              <w:spacing w:after="0"/>
              <w:jc w:val="center"/>
              <w:rPr>
                <w:rFonts w:ascii="Arial" w:hAnsi="Arial" w:cs="Arial"/>
                <w:bCs/>
                <w:color w:val="000000"/>
                <w:sz w:val="20"/>
                <w:szCs w:val="20"/>
              </w:rPr>
            </w:pPr>
          </w:p>
        </w:tc>
        <w:tc>
          <w:tcPr>
            <w:tcW w:w="1699" w:type="dxa"/>
            <w:shd w:val="clear" w:color="auto" w:fill="auto"/>
          </w:tcPr>
          <w:p w14:paraId="2ECF4C78"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31 500 MP</w:t>
            </w:r>
          </w:p>
        </w:tc>
      </w:tr>
      <w:tr w:rsidR="0018379B" w:rsidRPr="006D4B12" w14:paraId="0F7DB223" w14:textId="77777777" w:rsidTr="0048519A">
        <w:trPr>
          <w:trHeight w:val="1338"/>
          <w:jc w:val="center"/>
        </w:trPr>
        <w:tc>
          <w:tcPr>
            <w:tcW w:w="3114" w:type="dxa"/>
            <w:shd w:val="clear" w:color="auto" w:fill="auto"/>
          </w:tcPr>
          <w:p w14:paraId="060D40AF"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SUPRAFAȚĂ PARCARE/ZONĂ STAȚIONARE TIRURI ȘI AUTOTURISME</w:t>
            </w:r>
          </w:p>
        </w:tc>
        <w:tc>
          <w:tcPr>
            <w:tcW w:w="1763" w:type="dxa"/>
            <w:shd w:val="clear" w:color="auto" w:fill="auto"/>
          </w:tcPr>
          <w:p w14:paraId="457738D0" w14:textId="77777777" w:rsidR="0018379B" w:rsidRPr="006D4B12" w:rsidRDefault="0018379B" w:rsidP="004911DE">
            <w:pPr>
              <w:spacing w:after="0"/>
              <w:jc w:val="center"/>
              <w:rPr>
                <w:rFonts w:ascii="Arial" w:hAnsi="Arial" w:cs="Arial"/>
                <w:color w:val="000000"/>
                <w:sz w:val="20"/>
                <w:szCs w:val="20"/>
              </w:rPr>
            </w:pPr>
          </w:p>
          <w:p w14:paraId="09CB6918" w14:textId="77777777" w:rsidR="0018379B" w:rsidRPr="006D4B12" w:rsidRDefault="0018379B" w:rsidP="004911DE">
            <w:pPr>
              <w:spacing w:after="0"/>
              <w:jc w:val="center"/>
              <w:rPr>
                <w:rFonts w:ascii="Arial" w:hAnsi="Arial" w:cs="Arial"/>
                <w:color w:val="000000"/>
                <w:sz w:val="20"/>
                <w:szCs w:val="20"/>
              </w:rPr>
            </w:pPr>
          </w:p>
          <w:p w14:paraId="5B8B75EA"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2748 MP</w:t>
            </w:r>
          </w:p>
        </w:tc>
        <w:tc>
          <w:tcPr>
            <w:tcW w:w="1814" w:type="dxa"/>
            <w:shd w:val="clear" w:color="auto" w:fill="auto"/>
          </w:tcPr>
          <w:p w14:paraId="103774B1" w14:textId="77777777" w:rsidR="0018379B" w:rsidRPr="006D4B12" w:rsidRDefault="0018379B" w:rsidP="004911DE">
            <w:pPr>
              <w:spacing w:after="0"/>
              <w:jc w:val="center"/>
              <w:rPr>
                <w:rFonts w:ascii="Arial" w:hAnsi="Arial" w:cs="Arial"/>
                <w:color w:val="000000"/>
                <w:sz w:val="20"/>
                <w:szCs w:val="20"/>
              </w:rPr>
            </w:pPr>
          </w:p>
          <w:p w14:paraId="3A84663E" w14:textId="77777777" w:rsidR="0018379B" w:rsidRPr="006D4B12" w:rsidRDefault="0018379B" w:rsidP="004911DE">
            <w:pPr>
              <w:spacing w:after="0"/>
              <w:jc w:val="center"/>
              <w:rPr>
                <w:rFonts w:ascii="Arial" w:hAnsi="Arial" w:cs="Arial"/>
                <w:color w:val="000000"/>
                <w:sz w:val="20"/>
                <w:szCs w:val="20"/>
              </w:rPr>
            </w:pPr>
          </w:p>
          <w:p w14:paraId="04533E5B"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377</w:t>
            </w:r>
          </w:p>
        </w:tc>
        <w:tc>
          <w:tcPr>
            <w:tcW w:w="1699" w:type="dxa"/>
            <w:shd w:val="clear" w:color="auto" w:fill="auto"/>
          </w:tcPr>
          <w:p w14:paraId="088BD6C5" w14:textId="77777777" w:rsidR="0018379B" w:rsidRPr="006D4B12" w:rsidRDefault="0018379B" w:rsidP="004911DE">
            <w:pPr>
              <w:spacing w:after="0"/>
              <w:jc w:val="center"/>
              <w:rPr>
                <w:rFonts w:ascii="Arial" w:hAnsi="Arial" w:cs="Arial"/>
                <w:bCs/>
                <w:color w:val="000000"/>
                <w:sz w:val="20"/>
                <w:szCs w:val="20"/>
              </w:rPr>
            </w:pPr>
          </w:p>
          <w:p w14:paraId="77BAEF65" w14:textId="77777777" w:rsidR="0018379B" w:rsidRPr="006D4B12" w:rsidRDefault="0018379B" w:rsidP="004911DE">
            <w:pPr>
              <w:spacing w:after="0"/>
              <w:jc w:val="center"/>
              <w:rPr>
                <w:rFonts w:ascii="Arial" w:hAnsi="Arial" w:cs="Arial"/>
                <w:bCs/>
                <w:color w:val="000000"/>
                <w:sz w:val="20"/>
                <w:szCs w:val="20"/>
              </w:rPr>
            </w:pPr>
          </w:p>
          <w:p w14:paraId="597EFFDC"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3125 MP</w:t>
            </w:r>
          </w:p>
          <w:p w14:paraId="782A72A9" w14:textId="77777777" w:rsidR="0018379B" w:rsidRPr="006D4B12" w:rsidRDefault="0018379B" w:rsidP="004911DE">
            <w:pPr>
              <w:spacing w:after="0"/>
              <w:jc w:val="center"/>
              <w:rPr>
                <w:rFonts w:ascii="Arial" w:hAnsi="Arial" w:cs="Arial"/>
                <w:b/>
                <w:color w:val="000000"/>
                <w:sz w:val="20"/>
                <w:szCs w:val="20"/>
              </w:rPr>
            </w:pPr>
          </w:p>
        </w:tc>
      </w:tr>
      <w:tr w:rsidR="0018379B" w:rsidRPr="006D4B12" w14:paraId="12C6573E" w14:textId="77777777" w:rsidTr="005D79F8">
        <w:trPr>
          <w:jc w:val="center"/>
        </w:trPr>
        <w:tc>
          <w:tcPr>
            <w:tcW w:w="3114" w:type="dxa"/>
            <w:shd w:val="clear" w:color="auto" w:fill="auto"/>
          </w:tcPr>
          <w:p w14:paraId="64279C30"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SUPRAFAȚĂ CIRCULAȚII AUTOTURISME/TIRURI</w:t>
            </w:r>
          </w:p>
        </w:tc>
        <w:tc>
          <w:tcPr>
            <w:tcW w:w="1763" w:type="dxa"/>
            <w:shd w:val="clear" w:color="auto" w:fill="auto"/>
          </w:tcPr>
          <w:p w14:paraId="5E9FD579" w14:textId="77777777" w:rsidR="0018379B" w:rsidRPr="006D4B12" w:rsidRDefault="0018379B" w:rsidP="004911DE">
            <w:pPr>
              <w:spacing w:after="0"/>
              <w:jc w:val="center"/>
              <w:rPr>
                <w:rFonts w:ascii="Arial" w:hAnsi="Arial" w:cs="Arial"/>
                <w:bCs/>
                <w:color w:val="000000"/>
                <w:sz w:val="20"/>
                <w:szCs w:val="20"/>
              </w:rPr>
            </w:pPr>
          </w:p>
          <w:p w14:paraId="34CD5C59"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3560 MP</w:t>
            </w:r>
          </w:p>
        </w:tc>
        <w:tc>
          <w:tcPr>
            <w:tcW w:w="1814" w:type="dxa"/>
            <w:shd w:val="clear" w:color="auto" w:fill="auto"/>
          </w:tcPr>
          <w:p w14:paraId="455C908F" w14:textId="77777777" w:rsidR="0018379B" w:rsidRPr="006D4B12" w:rsidRDefault="0018379B" w:rsidP="004911DE">
            <w:pPr>
              <w:spacing w:after="0"/>
              <w:jc w:val="center"/>
              <w:rPr>
                <w:rFonts w:ascii="Arial" w:hAnsi="Arial" w:cs="Arial"/>
                <w:bCs/>
                <w:color w:val="000000"/>
                <w:sz w:val="20"/>
                <w:szCs w:val="20"/>
              </w:rPr>
            </w:pPr>
          </w:p>
          <w:p w14:paraId="0B2289B5"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990</w:t>
            </w:r>
          </w:p>
        </w:tc>
        <w:tc>
          <w:tcPr>
            <w:tcW w:w="1699" w:type="dxa"/>
            <w:shd w:val="clear" w:color="auto" w:fill="auto"/>
          </w:tcPr>
          <w:p w14:paraId="47098A5E" w14:textId="77777777" w:rsidR="0018379B" w:rsidRPr="006D4B12" w:rsidRDefault="0018379B" w:rsidP="004911DE">
            <w:pPr>
              <w:spacing w:after="0"/>
              <w:jc w:val="center"/>
              <w:rPr>
                <w:rFonts w:ascii="Arial" w:hAnsi="Arial" w:cs="Arial"/>
                <w:bCs/>
                <w:color w:val="000000"/>
                <w:sz w:val="20"/>
                <w:szCs w:val="20"/>
              </w:rPr>
            </w:pPr>
          </w:p>
          <w:p w14:paraId="540E1908"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4550 MP</w:t>
            </w:r>
          </w:p>
          <w:p w14:paraId="3BE31C6D" w14:textId="77777777" w:rsidR="0018379B" w:rsidRPr="006D4B12" w:rsidRDefault="0018379B" w:rsidP="004911DE">
            <w:pPr>
              <w:spacing w:after="0"/>
              <w:jc w:val="center"/>
              <w:rPr>
                <w:rFonts w:ascii="Arial" w:hAnsi="Arial" w:cs="Arial"/>
                <w:bCs/>
                <w:color w:val="000000"/>
                <w:sz w:val="20"/>
                <w:szCs w:val="20"/>
              </w:rPr>
            </w:pPr>
          </w:p>
        </w:tc>
      </w:tr>
      <w:tr w:rsidR="0018379B" w:rsidRPr="006D4B12" w14:paraId="3F976E88" w14:textId="77777777" w:rsidTr="005D79F8">
        <w:trPr>
          <w:jc w:val="center"/>
        </w:trPr>
        <w:tc>
          <w:tcPr>
            <w:tcW w:w="3114" w:type="dxa"/>
            <w:shd w:val="clear" w:color="auto" w:fill="auto"/>
          </w:tcPr>
          <w:p w14:paraId="5E0DB09A"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SUPRAFAȚĂ ACCESE PIETONALE, PLATFORMĂ GUNOI (NECAROSABILE)</w:t>
            </w:r>
          </w:p>
        </w:tc>
        <w:tc>
          <w:tcPr>
            <w:tcW w:w="1763" w:type="dxa"/>
            <w:shd w:val="clear" w:color="auto" w:fill="auto"/>
          </w:tcPr>
          <w:p w14:paraId="4E3CDDEF" w14:textId="77777777" w:rsidR="0018379B" w:rsidRPr="006D4B12" w:rsidRDefault="0018379B" w:rsidP="004911DE">
            <w:pPr>
              <w:spacing w:after="0"/>
              <w:rPr>
                <w:rFonts w:ascii="Arial" w:hAnsi="Arial" w:cs="Arial"/>
                <w:color w:val="000000"/>
                <w:sz w:val="20"/>
                <w:szCs w:val="20"/>
              </w:rPr>
            </w:pPr>
          </w:p>
          <w:p w14:paraId="101AF970"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711 MP</w:t>
            </w:r>
          </w:p>
        </w:tc>
        <w:tc>
          <w:tcPr>
            <w:tcW w:w="1814" w:type="dxa"/>
            <w:shd w:val="clear" w:color="auto" w:fill="auto"/>
          </w:tcPr>
          <w:p w14:paraId="75DFE878" w14:textId="77777777" w:rsidR="0018379B" w:rsidRPr="006D4B12" w:rsidRDefault="0018379B" w:rsidP="004911DE">
            <w:pPr>
              <w:spacing w:after="0"/>
              <w:jc w:val="center"/>
              <w:rPr>
                <w:rFonts w:ascii="Arial" w:hAnsi="Arial" w:cs="Arial"/>
                <w:color w:val="000000"/>
                <w:sz w:val="20"/>
                <w:szCs w:val="20"/>
              </w:rPr>
            </w:pPr>
          </w:p>
          <w:p w14:paraId="29E638EF"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223</w:t>
            </w:r>
          </w:p>
        </w:tc>
        <w:tc>
          <w:tcPr>
            <w:tcW w:w="1699" w:type="dxa"/>
            <w:shd w:val="clear" w:color="auto" w:fill="auto"/>
          </w:tcPr>
          <w:p w14:paraId="0022EDB0" w14:textId="77777777" w:rsidR="0018379B" w:rsidRPr="006D4B12" w:rsidRDefault="0018379B" w:rsidP="004911DE">
            <w:pPr>
              <w:spacing w:after="0"/>
              <w:jc w:val="center"/>
              <w:rPr>
                <w:rFonts w:ascii="Arial" w:hAnsi="Arial" w:cs="Arial"/>
                <w:bCs/>
                <w:color w:val="000000"/>
                <w:sz w:val="20"/>
                <w:szCs w:val="20"/>
              </w:rPr>
            </w:pPr>
          </w:p>
          <w:p w14:paraId="570529A4"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934 MP</w:t>
            </w:r>
          </w:p>
          <w:p w14:paraId="7C1B54F6" w14:textId="77777777" w:rsidR="0018379B" w:rsidRPr="006D4B12" w:rsidRDefault="0018379B" w:rsidP="004911DE">
            <w:pPr>
              <w:spacing w:after="0"/>
              <w:jc w:val="center"/>
              <w:rPr>
                <w:rFonts w:ascii="Arial" w:hAnsi="Arial" w:cs="Arial"/>
                <w:b/>
                <w:color w:val="000000"/>
                <w:sz w:val="20"/>
                <w:szCs w:val="20"/>
              </w:rPr>
            </w:pPr>
          </w:p>
        </w:tc>
      </w:tr>
      <w:tr w:rsidR="0018379B" w:rsidRPr="006D4B12" w14:paraId="387FB7FC" w14:textId="77777777" w:rsidTr="005D79F8">
        <w:trPr>
          <w:trHeight w:val="75"/>
          <w:jc w:val="center"/>
        </w:trPr>
        <w:tc>
          <w:tcPr>
            <w:tcW w:w="3114" w:type="dxa"/>
            <w:shd w:val="clear" w:color="auto" w:fill="auto"/>
          </w:tcPr>
          <w:p w14:paraId="2F783957"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SPAȚII VERZI</w:t>
            </w:r>
          </w:p>
        </w:tc>
        <w:tc>
          <w:tcPr>
            <w:tcW w:w="1763" w:type="dxa"/>
            <w:shd w:val="clear" w:color="auto" w:fill="auto"/>
            <w:vAlign w:val="center"/>
          </w:tcPr>
          <w:p w14:paraId="323C8198"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color w:val="000000"/>
                <w:sz w:val="20"/>
                <w:szCs w:val="20"/>
              </w:rPr>
              <w:t>12 600 MP</w:t>
            </w:r>
          </w:p>
        </w:tc>
        <w:tc>
          <w:tcPr>
            <w:tcW w:w="1814" w:type="dxa"/>
            <w:shd w:val="clear" w:color="auto" w:fill="auto"/>
          </w:tcPr>
          <w:p w14:paraId="56446687" w14:textId="77777777" w:rsidR="0018379B" w:rsidRPr="006D4B12" w:rsidRDefault="0018379B" w:rsidP="004911DE">
            <w:pPr>
              <w:pStyle w:val="ListParagraph"/>
              <w:spacing w:after="0"/>
              <w:ind w:left="420"/>
              <w:rPr>
                <w:rFonts w:ascii="Arial" w:hAnsi="Arial" w:cs="Arial"/>
                <w:bCs/>
                <w:color w:val="000000"/>
                <w:sz w:val="20"/>
                <w:szCs w:val="20"/>
              </w:rPr>
            </w:pPr>
            <w:r w:rsidRPr="006D4B12">
              <w:rPr>
                <w:rFonts w:ascii="Arial" w:hAnsi="Arial" w:cs="Arial"/>
                <w:bCs/>
                <w:color w:val="000000"/>
                <w:sz w:val="20"/>
                <w:szCs w:val="20"/>
              </w:rPr>
              <w:t xml:space="preserve">      -</w:t>
            </w:r>
          </w:p>
        </w:tc>
        <w:tc>
          <w:tcPr>
            <w:tcW w:w="1699" w:type="dxa"/>
            <w:shd w:val="clear" w:color="auto" w:fill="auto"/>
          </w:tcPr>
          <w:p w14:paraId="191E3FBB" w14:textId="77777777" w:rsidR="0018379B" w:rsidRPr="006D4B12" w:rsidRDefault="0018379B" w:rsidP="004911DE">
            <w:pPr>
              <w:spacing w:after="0"/>
              <w:rPr>
                <w:rFonts w:ascii="Arial" w:hAnsi="Arial" w:cs="Arial"/>
                <w:color w:val="000000"/>
                <w:sz w:val="20"/>
                <w:szCs w:val="20"/>
              </w:rPr>
            </w:pPr>
            <w:r w:rsidRPr="006D4B12">
              <w:rPr>
                <w:rFonts w:ascii="Arial" w:hAnsi="Arial" w:cs="Arial"/>
                <w:color w:val="000000"/>
                <w:sz w:val="20"/>
                <w:szCs w:val="20"/>
              </w:rPr>
              <w:t xml:space="preserve">  12 600 MP</w:t>
            </w:r>
          </w:p>
        </w:tc>
      </w:tr>
      <w:tr w:rsidR="0018379B" w:rsidRPr="006D4B12" w14:paraId="44E565CD" w14:textId="77777777" w:rsidTr="004911DE">
        <w:trPr>
          <w:trHeight w:val="1473"/>
          <w:jc w:val="center"/>
        </w:trPr>
        <w:tc>
          <w:tcPr>
            <w:tcW w:w="3114" w:type="dxa"/>
            <w:shd w:val="clear" w:color="auto" w:fill="auto"/>
          </w:tcPr>
          <w:p w14:paraId="16C20A3A"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SUPRAFAȚĂ NEAMENAJATĂ, REZULTATĂ PENTRU DEZVOLTĂRI ULTERIOARE (CONSTRUCȚII + AMENAJĂRI EXTERIOARE)</w:t>
            </w:r>
          </w:p>
        </w:tc>
        <w:tc>
          <w:tcPr>
            <w:tcW w:w="1763" w:type="dxa"/>
            <w:shd w:val="clear" w:color="auto" w:fill="auto"/>
            <w:vAlign w:val="center"/>
          </w:tcPr>
          <w:p w14:paraId="2D0F1815"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20 376 MP</w:t>
            </w:r>
          </w:p>
        </w:tc>
        <w:tc>
          <w:tcPr>
            <w:tcW w:w="1814" w:type="dxa"/>
            <w:shd w:val="clear" w:color="auto" w:fill="auto"/>
          </w:tcPr>
          <w:p w14:paraId="371B9C45" w14:textId="77777777" w:rsidR="0018379B" w:rsidRPr="006D4B12" w:rsidRDefault="0018379B" w:rsidP="004911DE">
            <w:pPr>
              <w:spacing w:after="0"/>
              <w:jc w:val="center"/>
              <w:rPr>
                <w:rFonts w:ascii="Arial" w:hAnsi="Arial" w:cs="Arial"/>
                <w:bCs/>
                <w:color w:val="000000"/>
                <w:sz w:val="20"/>
                <w:szCs w:val="20"/>
              </w:rPr>
            </w:pPr>
          </w:p>
          <w:p w14:paraId="3946D736" w14:textId="77777777" w:rsidR="0018379B" w:rsidRPr="006D4B12" w:rsidRDefault="0018379B" w:rsidP="004911DE">
            <w:pPr>
              <w:spacing w:after="0"/>
              <w:jc w:val="center"/>
              <w:rPr>
                <w:rFonts w:ascii="Arial" w:hAnsi="Arial" w:cs="Arial"/>
                <w:bCs/>
                <w:color w:val="000000"/>
                <w:sz w:val="20"/>
                <w:szCs w:val="20"/>
              </w:rPr>
            </w:pPr>
          </w:p>
          <w:p w14:paraId="6DBB0BC8" w14:textId="77777777" w:rsidR="0018379B" w:rsidRPr="006D4B12" w:rsidRDefault="0018379B" w:rsidP="004911DE">
            <w:pPr>
              <w:spacing w:after="0"/>
              <w:rPr>
                <w:rFonts w:ascii="Arial" w:hAnsi="Arial" w:cs="Arial"/>
                <w:bCs/>
                <w:color w:val="000000"/>
                <w:sz w:val="20"/>
                <w:szCs w:val="20"/>
              </w:rPr>
            </w:pPr>
          </w:p>
          <w:p w14:paraId="3BBFD757" w14:textId="77777777" w:rsidR="0018379B" w:rsidRPr="006D4B12" w:rsidRDefault="0018379B" w:rsidP="004911DE">
            <w:pPr>
              <w:spacing w:after="0"/>
              <w:jc w:val="center"/>
              <w:rPr>
                <w:rFonts w:ascii="Arial" w:hAnsi="Arial" w:cs="Arial"/>
                <w:bCs/>
                <w:color w:val="000000"/>
                <w:sz w:val="20"/>
                <w:szCs w:val="20"/>
              </w:rPr>
            </w:pPr>
            <w:r w:rsidRPr="006D4B12">
              <w:rPr>
                <w:rFonts w:ascii="Arial" w:hAnsi="Arial" w:cs="Arial"/>
                <w:bCs/>
                <w:color w:val="000000"/>
                <w:sz w:val="20"/>
                <w:szCs w:val="20"/>
              </w:rPr>
              <w:t xml:space="preserve"> -</w:t>
            </w:r>
          </w:p>
        </w:tc>
        <w:tc>
          <w:tcPr>
            <w:tcW w:w="1699" w:type="dxa"/>
            <w:shd w:val="clear" w:color="auto" w:fill="auto"/>
          </w:tcPr>
          <w:p w14:paraId="49B4FCCC" w14:textId="77777777" w:rsidR="0018379B" w:rsidRPr="006D4B12" w:rsidRDefault="0018379B" w:rsidP="004911DE">
            <w:pPr>
              <w:spacing w:after="0"/>
              <w:jc w:val="center"/>
              <w:rPr>
                <w:rFonts w:ascii="Arial" w:hAnsi="Arial" w:cs="Arial"/>
                <w:color w:val="000000"/>
                <w:sz w:val="20"/>
                <w:szCs w:val="20"/>
              </w:rPr>
            </w:pPr>
          </w:p>
          <w:p w14:paraId="3F52EFEE" w14:textId="77777777" w:rsidR="0018379B" w:rsidRPr="006D4B12" w:rsidRDefault="0018379B" w:rsidP="004911DE">
            <w:pPr>
              <w:spacing w:after="0"/>
              <w:jc w:val="center"/>
              <w:rPr>
                <w:rFonts w:ascii="Arial" w:hAnsi="Arial" w:cs="Arial"/>
                <w:color w:val="000000"/>
                <w:sz w:val="20"/>
                <w:szCs w:val="20"/>
              </w:rPr>
            </w:pPr>
          </w:p>
          <w:p w14:paraId="6BCB64C9" w14:textId="77777777" w:rsidR="0018379B" w:rsidRPr="006D4B12" w:rsidRDefault="0018379B" w:rsidP="004911DE">
            <w:pPr>
              <w:spacing w:after="0"/>
              <w:jc w:val="center"/>
              <w:rPr>
                <w:rFonts w:ascii="Arial" w:hAnsi="Arial" w:cs="Arial"/>
                <w:color w:val="000000"/>
                <w:sz w:val="20"/>
                <w:szCs w:val="20"/>
              </w:rPr>
            </w:pPr>
          </w:p>
          <w:p w14:paraId="74E65F5D" w14:textId="77777777" w:rsidR="0018379B" w:rsidRPr="006D4B12" w:rsidRDefault="0018379B" w:rsidP="004911DE">
            <w:pPr>
              <w:spacing w:after="0"/>
              <w:jc w:val="center"/>
              <w:rPr>
                <w:rFonts w:ascii="Arial" w:hAnsi="Arial" w:cs="Arial"/>
                <w:color w:val="000000"/>
                <w:sz w:val="20"/>
                <w:szCs w:val="20"/>
              </w:rPr>
            </w:pPr>
            <w:r w:rsidRPr="006D4B12">
              <w:rPr>
                <w:rFonts w:ascii="Arial" w:hAnsi="Arial" w:cs="Arial"/>
                <w:color w:val="000000"/>
                <w:sz w:val="20"/>
                <w:szCs w:val="20"/>
              </w:rPr>
              <w:t>10291 MP</w:t>
            </w:r>
          </w:p>
        </w:tc>
      </w:tr>
    </w:tbl>
    <w:p w14:paraId="04A4D4B7" w14:textId="77777777" w:rsidR="008F3A57" w:rsidRPr="003A45A5" w:rsidRDefault="008F3A57" w:rsidP="00687A1B">
      <w:pPr>
        <w:spacing w:after="0" w:line="240" w:lineRule="auto"/>
        <w:jc w:val="both"/>
        <w:rPr>
          <w:rFonts w:ascii="Arial" w:hAnsi="Arial" w:cs="Arial"/>
          <w:b/>
          <w:sz w:val="24"/>
          <w:szCs w:val="24"/>
          <w:lang w:val="it-IT"/>
        </w:rPr>
      </w:pPr>
    </w:p>
    <w:p w14:paraId="42811712" w14:textId="77777777" w:rsidR="00687A1B" w:rsidRPr="003A45A5" w:rsidRDefault="008F3A57"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ASIGURAREA UTILITATILOR:</w:t>
      </w:r>
    </w:p>
    <w:p w14:paraId="6D5ED5EB" w14:textId="566D1C52" w:rsidR="00194A57" w:rsidRDefault="006D6A7A" w:rsidP="00194A57">
      <w:pPr>
        <w:spacing w:after="0" w:line="240" w:lineRule="auto"/>
        <w:jc w:val="both"/>
        <w:rPr>
          <w:rFonts w:ascii="Arial" w:hAnsi="Arial" w:cs="Arial"/>
          <w:sz w:val="24"/>
          <w:szCs w:val="24"/>
          <w:lang w:val="ro-RO"/>
        </w:rPr>
      </w:pPr>
      <w:r>
        <w:rPr>
          <w:rFonts w:ascii="Arial" w:hAnsi="Arial" w:cs="Arial"/>
          <w:sz w:val="24"/>
          <w:szCs w:val="24"/>
          <w:lang w:val="ro-RO"/>
        </w:rPr>
        <w:t>Conform</w:t>
      </w:r>
      <w:r w:rsidR="00194A57">
        <w:rPr>
          <w:rFonts w:ascii="Arial" w:hAnsi="Arial" w:cs="Arial"/>
          <w:sz w:val="24"/>
          <w:szCs w:val="24"/>
          <w:lang w:val="ro-RO"/>
        </w:rPr>
        <w:t xml:space="preserve"> aviz</w:t>
      </w:r>
      <w:r>
        <w:rPr>
          <w:rFonts w:ascii="Arial" w:hAnsi="Arial" w:cs="Arial"/>
          <w:sz w:val="24"/>
          <w:szCs w:val="24"/>
          <w:lang w:val="ro-RO"/>
        </w:rPr>
        <w:t>ului</w:t>
      </w:r>
      <w:r w:rsidR="00194A57">
        <w:rPr>
          <w:rFonts w:ascii="Arial" w:hAnsi="Arial" w:cs="Arial"/>
          <w:sz w:val="24"/>
          <w:szCs w:val="24"/>
          <w:lang w:val="ro-RO"/>
        </w:rPr>
        <w:t xml:space="preserve"> emis de </w:t>
      </w:r>
      <w:r w:rsidR="00F32618">
        <w:rPr>
          <w:rFonts w:ascii="Arial" w:hAnsi="Arial" w:cs="Arial"/>
          <w:sz w:val="24"/>
          <w:szCs w:val="24"/>
          <w:lang w:val="ro-RO"/>
        </w:rPr>
        <w:t>SC ANTREPRIZA SRL</w:t>
      </w:r>
      <w:r w:rsidR="00194A57">
        <w:rPr>
          <w:rFonts w:ascii="Arial" w:hAnsi="Arial" w:cs="Arial"/>
          <w:sz w:val="24"/>
          <w:szCs w:val="24"/>
          <w:lang w:val="ro-RO"/>
        </w:rPr>
        <w:t xml:space="preserve"> cu nr</w:t>
      </w:r>
      <w:r>
        <w:rPr>
          <w:rFonts w:ascii="Arial" w:hAnsi="Arial" w:cs="Arial"/>
          <w:sz w:val="24"/>
          <w:szCs w:val="24"/>
          <w:lang w:val="ro-RO"/>
        </w:rPr>
        <w:t xml:space="preserve">. </w:t>
      </w:r>
      <w:r w:rsidR="00F32618">
        <w:rPr>
          <w:rFonts w:ascii="Arial" w:hAnsi="Arial" w:cs="Arial"/>
          <w:sz w:val="24"/>
          <w:szCs w:val="24"/>
          <w:lang w:val="ro-RO"/>
        </w:rPr>
        <w:t>449</w:t>
      </w:r>
      <w:r w:rsidR="00194A57">
        <w:rPr>
          <w:rFonts w:ascii="Arial" w:hAnsi="Arial" w:cs="Arial"/>
          <w:sz w:val="24"/>
          <w:szCs w:val="24"/>
          <w:lang w:val="ro-RO"/>
        </w:rPr>
        <w:t xml:space="preserve"> din 1</w:t>
      </w:r>
      <w:r w:rsidR="00F32618">
        <w:rPr>
          <w:rFonts w:ascii="Arial" w:hAnsi="Arial" w:cs="Arial"/>
          <w:sz w:val="24"/>
          <w:szCs w:val="24"/>
          <w:lang w:val="ro-RO"/>
        </w:rPr>
        <w:t>1</w:t>
      </w:r>
      <w:r w:rsidR="00194A57">
        <w:rPr>
          <w:rFonts w:ascii="Arial" w:hAnsi="Arial" w:cs="Arial"/>
          <w:sz w:val="24"/>
          <w:szCs w:val="24"/>
          <w:lang w:val="ro-RO"/>
        </w:rPr>
        <w:t>.0</w:t>
      </w:r>
      <w:r w:rsidR="00F32618">
        <w:rPr>
          <w:rFonts w:ascii="Arial" w:hAnsi="Arial" w:cs="Arial"/>
          <w:sz w:val="24"/>
          <w:szCs w:val="24"/>
          <w:lang w:val="ro-RO"/>
        </w:rPr>
        <w:t>3</w:t>
      </w:r>
      <w:r w:rsidR="00194A57">
        <w:rPr>
          <w:rFonts w:ascii="Arial" w:hAnsi="Arial" w:cs="Arial"/>
          <w:sz w:val="24"/>
          <w:szCs w:val="24"/>
          <w:lang w:val="ro-RO"/>
        </w:rPr>
        <w:t>.2022</w:t>
      </w:r>
      <w:r>
        <w:rPr>
          <w:rFonts w:ascii="Arial" w:hAnsi="Arial" w:cs="Arial"/>
          <w:sz w:val="24"/>
          <w:szCs w:val="24"/>
          <w:lang w:val="ro-RO"/>
        </w:rPr>
        <w:t>, în zona</w:t>
      </w:r>
      <w:r w:rsidR="00194A57">
        <w:rPr>
          <w:rFonts w:ascii="Arial" w:hAnsi="Arial" w:cs="Arial"/>
          <w:sz w:val="24"/>
          <w:szCs w:val="24"/>
          <w:lang w:val="ro-RO"/>
        </w:rPr>
        <w:t xml:space="preserve"> amplasamentul</w:t>
      </w:r>
      <w:r>
        <w:rPr>
          <w:rFonts w:ascii="Arial" w:hAnsi="Arial" w:cs="Arial"/>
          <w:sz w:val="24"/>
          <w:szCs w:val="24"/>
          <w:lang w:val="ro-RO"/>
        </w:rPr>
        <w:t>ui</w:t>
      </w:r>
      <w:r w:rsidR="00194A57">
        <w:rPr>
          <w:rFonts w:ascii="Arial" w:hAnsi="Arial" w:cs="Arial"/>
          <w:sz w:val="24"/>
          <w:szCs w:val="24"/>
          <w:lang w:val="ro-RO"/>
        </w:rPr>
        <w:t xml:space="preserve"> nu este </w:t>
      </w:r>
      <w:r>
        <w:rPr>
          <w:rFonts w:ascii="Arial" w:hAnsi="Arial" w:cs="Arial"/>
          <w:sz w:val="24"/>
          <w:szCs w:val="24"/>
          <w:lang w:val="ro-RO"/>
        </w:rPr>
        <w:t>există</w:t>
      </w:r>
      <w:r w:rsidR="00194A57">
        <w:rPr>
          <w:rFonts w:ascii="Arial" w:hAnsi="Arial" w:cs="Arial"/>
          <w:sz w:val="24"/>
          <w:szCs w:val="24"/>
          <w:lang w:val="ro-RO"/>
        </w:rPr>
        <w:t xml:space="preserve"> re</w:t>
      </w:r>
      <w:r>
        <w:rPr>
          <w:rFonts w:ascii="Arial" w:hAnsi="Arial" w:cs="Arial"/>
          <w:sz w:val="24"/>
          <w:szCs w:val="24"/>
          <w:lang w:val="ro-RO"/>
        </w:rPr>
        <w:t>ț</w:t>
      </w:r>
      <w:r w:rsidR="00194A57">
        <w:rPr>
          <w:rFonts w:ascii="Arial" w:hAnsi="Arial" w:cs="Arial"/>
          <w:sz w:val="24"/>
          <w:szCs w:val="24"/>
          <w:lang w:val="ro-RO"/>
        </w:rPr>
        <w:t>ele edilitare de ap</w:t>
      </w:r>
      <w:r>
        <w:rPr>
          <w:rFonts w:ascii="Arial" w:hAnsi="Arial" w:cs="Arial"/>
          <w:sz w:val="24"/>
          <w:szCs w:val="24"/>
          <w:lang w:val="ro-RO"/>
        </w:rPr>
        <w:t>ă</w:t>
      </w:r>
      <w:r w:rsidR="00194A57">
        <w:rPr>
          <w:rFonts w:ascii="Arial" w:hAnsi="Arial" w:cs="Arial"/>
          <w:sz w:val="24"/>
          <w:szCs w:val="24"/>
          <w:lang w:val="ro-RO"/>
        </w:rPr>
        <w:t>.</w:t>
      </w:r>
    </w:p>
    <w:p w14:paraId="6A41840A" w14:textId="77777777" w:rsidR="00194A57" w:rsidRDefault="00811B54" w:rsidP="00194A57">
      <w:pPr>
        <w:spacing w:after="0" w:line="240" w:lineRule="auto"/>
        <w:jc w:val="both"/>
        <w:rPr>
          <w:rFonts w:ascii="Arial" w:hAnsi="Arial" w:cs="Arial"/>
          <w:sz w:val="24"/>
          <w:szCs w:val="24"/>
          <w:lang w:val="ro-RO"/>
        </w:rPr>
      </w:pPr>
      <w:r w:rsidRPr="003A45A5">
        <w:rPr>
          <w:rFonts w:ascii="Arial" w:hAnsi="Arial" w:cs="Arial"/>
          <w:sz w:val="24"/>
          <w:szCs w:val="24"/>
          <w:lang w:val="ro-RO"/>
        </w:rPr>
        <w:t>În baza proiectului de Aviz de Gospodărire a Apelor emis de A.N. „Apele Române”- S.G.A. Ilfov-Bucure</w:t>
      </w:r>
      <w:r w:rsidR="006D6A7A">
        <w:rPr>
          <w:rFonts w:ascii="Arial" w:hAnsi="Arial" w:cs="Arial"/>
          <w:sz w:val="24"/>
          <w:szCs w:val="24"/>
          <w:lang w:val="ro-RO"/>
        </w:rPr>
        <w:t>ș</w:t>
      </w:r>
      <w:r w:rsidRPr="003A45A5">
        <w:rPr>
          <w:rFonts w:ascii="Arial" w:hAnsi="Arial" w:cs="Arial"/>
          <w:sz w:val="24"/>
          <w:szCs w:val="24"/>
          <w:lang w:val="ro-RO"/>
        </w:rPr>
        <w:t>ti, transmis se</w:t>
      </w:r>
      <w:r w:rsidR="00194A57">
        <w:rPr>
          <w:rFonts w:ascii="Arial" w:hAnsi="Arial" w:cs="Arial"/>
          <w:sz w:val="24"/>
          <w:szCs w:val="24"/>
          <w:lang w:val="ro-RO"/>
        </w:rPr>
        <w:t xml:space="preserve"> identific</w:t>
      </w:r>
      <w:r w:rsidR="006D6A7A">
        <w:rPr>
          <w:rFonts w:ascii="Arial" w:hAnsi="Arial" w:cs="Arial"/>
          <w:sz w:val="24"/>
          <w:szCs w:val="24"/>
          <w:lang w:val="ro-RO"/>
        </w:rPr>
        <w:t>ă</w:t>
      </w:r>
      <w:r w:rsidR="00194A57">
        <w:rPr>
          <w:rFonts w:ascii="Arial" w:hAnsi="Arial" w:cs="Arial"/>
          <w:sz w:val="24"/>
          <w:szCs w:val="24"/>
          <w:lang w:val="ro-RO"/>
        </w:rPr>
        <w:t xml:space="preserve"> urm</w:t>
      </w:r>
      <w:r w:rsidR="006D6A7A">
        <w:rPr>
          <w:rFonts w:ascii="Arial" w:hAnsi="Arial" w:cs="Arial"/>
          <w:sz w:val="24"/>
          <w:szCs w:val="24"/>
          <w:lang w:val="ro-RO"/>
        </w:rPr>
        <w:t>ă</w:t>
      </w:r>
      <w:r w:rsidR="00194A57">
        <w:rPr>
          <w:rFonts w:ascii="Arial" w:hAnsi="Arial" w:cs="Arial"/>
          <w:sz w:val="24"/>
          <w:szCs w:val="24"/>
          <w:lang w:val="ro-RO"/>
        </w:rPr>
        <w:t>toarele solu</w:t>
      </w:r>
      <w:r w:rsidR="006D6A7A">
        <w:rPr>
          <w:rFonts w:ascii="Arial" w:hAnsi="Arial" w:cs="Arial"/>
          <w:sz w:val="24"/>
          <w:szCs w:val="24"/>
          <w:lang w:val="ro-RO"/>
        </w:rPr>
        <w:t>ț</w:t>
      </w:r>
      <w:r w:rsidR="00194A57">
        <w:rPr>
          <w:rFonts w:ascii="Arial" w:hAnsi="Arial" w:cs="Arial"/>
          <w:sz w:val="24"/>
          <w:szCs w:val="24"/>
          <w:lang w:val="ro-RO"/>
        </w:rPr>
        <w:t>ii:</w:t>
      </w:r>
    </w:p>
    <w:p w14:paraId="6E737495" w14:textId="77777777" w:rsidR="00194A57" w:rsidRPr="00B8789B" w:rsidRDefault="00194A57" w:rsidP="00194A57">
      <w:pPr>
        <w:spacing w:after="0" w:line="240" w:lineRule="auto"/>
        <w:jc w:val="both"/>
        <w:rPr>
          <w:rFonts w:ascii="Arial" w:hAnsi="Arial" w:cs="Arial"/>
          <w:sz w:val="24"/>
          <w:szCs w:val="24"/>
          <w:lang w:val="it-IT"/>
        </w:rPr>
      </w:pPr>
      <w:r w:rsidRPr="00B8789B">
        <w:rPr>
          <w:rFonts w:ascii="Arial" w:hAnsi="Arial" w:cs="Arial"/>
          <w:b/>
          <w:sz w:val="24"/>
          <w:szCs w:val="24"/>
        </w:rPr>
        <w:t xml:space="preserve">ALIMENTARE CU APĂ: </w:t>
      </w:r>
    </w:p>
    <w:p w14:paraId="5E4C691F" w14:textId="696057C1" w:rsidR="00194A57" w:rsidRDefault="00194A57" w:rsidP="00194A57">
      <w:pPr>
        <w:spacing w:after="0" w:line="240" w:lineRule="auto"/>
        <w:jc w:val="both"/>
        <w:rPr>
          <w:rFonts w:ascii="Arial" w:hAnsi="Arial" w:cs="Arial"/>
          <w:sz w:val="24"/>
          <w:szCs w:val="24"/>
        </w:rPr>
      </w:pPr>
      <w:r w:rsidRPr="002C6352">
        <w:rPr>
          <w:rFonts w:ascii="Arial" w:hAnsi="Arial" w:cs="Arial"/>
          <w:sz w:val="24"/>
          <w:szCs w:val="24"/>
        </w:rPr>
        <w:t>Surse de alimentare cu apă:</w:t>
      </w:r>
    </w:p>
    <w:p w14:paraId="24CC6D78" w14:textId="42F89444" w:rsidR="00F32618" w:rsidRPr="00F32618" w:rsidRDefault="00F32618" w:rsidP="00F32618">
      <w:pPr>
        <w:spacing w:after="0" w:line="240" w:lineRule="auto"/>
        <w:jc w:val="both"/>
        <w:rPr>
          <w:rFonts w:ascii="Arial" w:hAnsi="Arial" w:cs="Arial"/>
          <w:lang w:val="fr-FR"/>
        </w:rPr>
      </w:pPr>
      <w:r>
        <w:rPr>
          <w:rFonts w:ascii="Arial" w:hAnsi="Arial" w:cs="Arial"/>
          <w:sz w:val="24"/>
          <w:szCs w:val="24"/>
        </w:rPr>
        <w:t xml:space="preserve">- existentă: </w:t>
      </w:r>
      <w:r w:rsidRPr="00F32618">
        <w:rPr>
          <w:rFonts w:ascii="Arial" w:hAnsi="Arial" w:cs="Arial"/>
          <w:bCs/>
          <w:sz w:val="24"/>
          <w:szCs w:val="24"/>
        </w:rPr>
        <w:t xml:space="preserve">din </w:t>
      </w:r>
      <w:r w:rsidRPr="00F32618">
        <w:rPr>
          <w:rFonts w:ascii="Arial" w:hAnsi="Arial" w:cs="Arial"/>
          <w:sz w:val="24"/>
          <w:szCs w:val="24"/>
          <w:lang w:val="fr-FR"/>
        </w:rPr>
        <w:t>subteran, prin intermediul unui foraj F1 cu H = 60 m;</w:t>
      </w:r>
    </w:p>
    <w:p w14:paraId="7BCCC549" w14:textId="69C6E0DE" w:rsidR="00F32618" w:rsidRPr="00F32618" w:rsidRDefault="00F32618" w:rsidP="00F32618">
      <w:pPr>
        <w:spacing w:after="0" w:line="240" w:lineRule="auto"/>
        <w:jc w:val="both"/>
        <w:rPr>
          <w:rFonts w:ascii="Arial" w:hAnsi="Arial" w:cs="Arial"/>
          <w:sz w:val="24"/>
          <w:szCs w:val="24"/>
        </w:rPr>
      </w:pPr>
      <w:r>
        <w:rPr>
          <w:rFonts w:ascii="Arial" w:hAnsi="Arial" w:cs="Arial"/>
          <w:sz w:val="24"/>
          <w:szCs w:val="24"/>
        </w:rPr>
        <w:t xml:space="preserve">- </w:t>
      </w:r>
      <w:r w:rsidRPr="00F32618">
        <w:rPr>
          <w:rFonts w:ascii="Arial" w:hAnsi="Arial" w:cs="Arial"/>
          <w:b/>
          <w:bCs/>
          <w:sz w:val="24"/>
          <w:szCs w:val="24"/>
        </w:rPr>
        <w:t>propusă:</w:t>
      </w:r>
      <w:r>
        <w:rPr>
          <w:rFonts w:ascii="Arial" w:hAnsi="Arial" w:cs="Arial"/>
          <w:sz w:val="24"/>
          <w:szCs w:val="24"/>
        </w:rPr>
        <w:t xml:space="preserve"> </w:t>
      </w:r>
      <w:r w:rsidRPr="00F32618">
        <w:rPr>
          <w:rFonts w:ascii="Arial" w:hAnsi="Arial" w:cs="Arial"/>
          <w:b/>
          <w:bCs/>
        </w:rPr>
        <w:t xml:space="preserve">Conform </w:t>
      </w:r>
      <w:r w:rsidRPr="00F32618">
        <w:rPr>
          <w:rFonts w:ascii="Arial" w:hAnsi="Arial" w:cs="Arial"/>
          <w:b/>
          <w:bCs/>
          <w:color w:val="000000"/>
        </w:rPr>
        <w:t>Referatului de expertiză hidrogeologică emis de INHGA</w:t>
      </w:r>
      <w:r w:rsidRPr="00F32618">
        <w:rPr>
          <w:rFonts w:ascii="Arial" w:hAnsi="Arial" w:cs="Arial"/>
          <w:b/>
          <w:bCs/>
        </w:rPr>
        <w:t xml:space="preserve"> în urma Studiului hidrogeologic întocmit de </w:t>
      </w:r>
      <w:r w:rsidRPr="00F32618">
        <w:rPr>
          <w:rFonts w:ascii="Arial" w:hAnsi="Arial" w:cs="Arial"/>
          <w:b/>
          <w:bCs/>
          <w:color w:val="0D0D0D"/>
          <w:lang w:val="pt-BR"/>
        </w:rPr>
        <w:t xml:space="preserve">SC </w:t>
      </w:r>
      <w:r w:rsidRPr="00F32618">
        <w:rPr>
          <w:rFonts w:ascii="Arial" w:hAnsi="Arial" w:cs="Arial"/>
          <w:b/>
          <w:bCs/>
        </w:rPr>
        <w:t xml:space="preserve">DOCAS AQUA CONSULT </w:t>
      </w:r>
      <w:r w:rsidRPr="00F32618">
        <w:rPr>
          <w:rFonts w:ascii="Arial" w:hAnsi="Arial" w:cs="Arial"/>
          <w:b/>
          <w:bCs/>
          <w:lang w:val="pt-BR"/>
        </w:rPr>
        <w:t>S.R.L. s</w:t>
      </w:r>
      <w:r w:rsidRPr="00F32618">
        <w:rPr>
          <w:rFonts w:ascii="Arial" w:hAnsi="Arial" w:cs="Arial"/>
          <w:b/>
          <w:bCs/>
        </w:rPr>
        <w:t xml:space="preserve">ursa de apă va fi constituită de </w:t>
      </w:r>
      <w:r w:rsidRPr="00F32618">
        <w:rPr>
          <w:rFonts w:ascii="Arial" w:hAnsi="Arial" w:cs="Arial"/>
          <w:b/>
          <w:bCs/>
        </w:rPr>
        <w:lastRenderedPageBreak/>
        <w:t>un foraj de alimentare cu apă F</w:t>
      </w:r>
      <w:r w:rsidRPr="005436AA">
        <w:rPr>
          <w:rFonts w:ascii="Arial" w:hAnsi="Arial" w:cs="Arial"/>
          <w:b/>
          <w:bCs/>
          <w:vertAlign w:val="subscript"/>
        </w:rPr>
        <w:t>2</w:t>
      </w:r>
      <w:r w:rsidRPr="00F32618">
        <w:rPr>
          <w:rFonts w:ascii="Arial" w:hAnsi="Arial" w:cs="Arial"/>
          <w:b/>
          <w:bCs/>
        </w:rPr>
        <w:t xml:space="preserve"> proiectat cu H = 45</w:t>
      </w:r>
      <w:r>
        <w:rPr>
          <w:rFonts w:ascii="Arial" w:hAnsi="Arial" w:cs="Arial"/>
          <w:b/>
          <w:bCs/>
        </w:rPr>
        <w:t xml:space="preserve"> </w:t>
      </w:r>
      <w:r w:rsidRPr="00F32618">
        <w:rPr>
          <w:rFonts w:ascii="Arial" w:hAnsi="Arial" w:cs="Arial"/>
          <w:b/>
          <w:bCs/>
        </w:rPr>
        <w:t>m pentru asigurarea debitului de refacere a rezervei de incendiu.</w:t>
      </w:r>
    </w:p>
    <w:p w14:paraId="6195FBD8" w14:textId="0801428D" w:rsidR="005436AA" w:rsidRPr="00AE1A7C" w:rsidRDefault="005436AA" w:rsidP="005436AA">
      <w:pPr>
        <w:spacing w:after="0" w:line="240" w:lineRule="auto"/>
        <w:ind w:right="-29"/>
        <w:jc w:val="both"/>
        <w:rPr>
          <w:rFonts w:ascii="Arial" w:hAnsi="Arial" w:cs="Arial"/>
          <w:color w:val="000000"/>
        </w:rPr>
      </w:pPr>
      <w:r w:rsidRPr="00AE1A7C">
        <w:rPr>
          <w:rFonts w:ascii="Arial" w:hAnsi="Arial" w:cs="Arial"/>
          <w:b/>
        </w:rPr>
        <w:t>Corp de apă:</w:t>
      </w:r>
      <w:r w:rsidRPr="00AE1A7C">
        <w:rPr>
          <w:rFonts w:ascii="Arial" w:hAnsi="Arial" w:cs="Arial"/>
        </w:rPr>
        <w:t xml:space="preserve"> </w:t>
      </w:r>
      <w:r w:rsidRPr="00AE1A7C">
        <w:rPr>
          <w:rFonts w:ascii="Arial" w:hAnsi="Arial" w:cs="Arial"/>
          <w:lang w:val="it-IT"/>
        </w:rPr>
        <w:t>Subteran</w:t>
      </w:r>
      <w:r>
        <w:rPr>
          <w:rFonts w:ascii="Arial" w:hAnsi="Arial" w:cs="Arial"/>
          <w:lang w:val="it-IT"/>
        </w:rPr>
        <w:t>,</w:t>
      </w:r>
      <w:r w:rsidRPr="00AE1A7C">
        <w:rPr>
          <w:rFonts w:ascii="Arial" w:hAnsi="Arial" w:cs="Arial"/>
          <w:lang w:val="it-IT"/>
        </w:rPr>
        <w:t xml:space="preserve"> Stratele de Colentina – RO</w:t>
      </w:r>
      <w:r>
        <w:rPr>
          <w:rFonts w:ascii="Arial" w:hAnsi="Arial" w:cs="Arial"/>
          <w:lang w:val="it-IT"/>
        </w:rPr>
        <w:t>AG03</w:t>
      </w:r>
      <w:r w:rsidRPr="00AE1A7C">
        <w:rPr>
          <w:rFonts w:ascii="Arial" w:hAnsi="Arial" w:cs="Arial"/>
          <w:lang w:val="it-IT"/>
        </w:rPr>
        <w:t>, caracterizat</w:t>
      </w:r>
      <w:r w:rsidRPr="00AE1A7C">
        <w:rPr>
          <w:rFonts w:ascii="Arial" w:hAnsi="Arial" w:cs="Arial"/>
          <w:lang w:val="fr-FR"/>
        </w:rPr>
        <w:t xml:space="preserve"> conform Ordinului MMSC nr.</w:t>
      </w:r>
      <w:r>
        <w:rPr>
          <w:rFonts w:ascii="Arial" w:hAnsi="Arial" w:cs="Arial"/>
          <w:lang w:val="fr-FR"/>
        </w:rPr>
        <w:t xml:space="preserve"> </w:t>
      </w:r>
      <w:r w:rsidRPr="00AE1A7C">
        <w:rPr>
          <w:rFonts w:ascii="Arial" w:hAnsi="Arial" w:cs="Arial"/>
          <w:lang w:val="fr-FR"/>
        </w:rPr>
        <w:t>621/2014, privind aprobarea valorilor de prag pentru corpurile de apă subterane din Romania.</w:t>
      </w:r>
    </w:p>
    <w:p w14:paraId="799CE8E6" w14:textId="77777777" w:rsidR="005436AA" w:rsidRPr="00AE1A7C" w:rsidRDefault="005436AA" w:rsidP="005436AA">
      <w:pPr>
        <w:spacing w:after="0" w:line="240" w:lineRule="auto"/>
        <w:jc w:val="both"/>
        <w:rPr>
          <w:rFonts w:ascii="Arial" w:hAnsi="Arial" w:cs="Arial"/>
        </w:rPr>
      </w:pPr>
      <w:r w:rsidRPr="00AE1A7C">
        <w:rPr>
          <w:rFonts w:ascii="Arial" w:hAnsi="Arial" w:cs="Arial"/>
        </w:rPr>
        <w:t>Captarea apei:</w:t>
      </w:r>
    </w:p>
    <w:p w14:paraId="139FACCE" w14:textId="39D6E57E" w:rsidR="005436AA" w:rsidRDefault="005436AA" w:rsidP="005436AA">
      <w:pPr>
        <w:spacing w:after="0" w:line="240" w:lineRule="auto"/>
        <w:jc w:val="both"/>
        <w:rPr>
          <w:rFonts w:ascii="Arial" w:hAnsi="Arial" w:cs="Arial"/>
        </w:rPr>
      </w:pPr>
      <w:r w:rsidRPr="00AE1A7C">
        <w:rPr>
          <w:rFonts w:ascii="Arial" w:hAnsi="Arial" w:cs="Arial"/>
        </w:rPr>
        <w:t>- un foraj de alimentare cu apă F</w:t>
      </w:r>
      <w:r w:rsidRPr="005436AA">
        <w:rPr>
          <w:rFonts w:ascii="Arial" w:hAnsi="Arial" w:cs="Arial"/>
          <w:vertAlign w:val="subscript"/>
        </w:rPr>
        <w:t>2</w:t>
      </w:r>
      <w:r w:rsidRPr="00AE1A7C">
        <w:rPr>
          <w:rFonts w:ascii="Arial" w:hAnsi="Arial" w:cs="Arial"/>
        </w:rPr>
        <w:t xml:space="preserve"> proiectat cu H</w:t>
      </w:r>
      <w:r>
        <w:rPr>
          <w:rFonts w:ascii="Arial" w:hAnsi="Arial" w:cs="Arial"/>
        </w:rPr>
        <w:t xml:space="preserve"> </w:t>
      </w:r>
      <w:r w:rsidRPr="00AE1A7C">
        <w:rPr>
          <w:rFonts w:ascii="Arial" w:hAnsi="Arial" w:cs="Arial"/>
        </w:rPr>
        <w:t>=</w:t>
      </w:r>
      <w:r>
        <w:rPr>
          <w:rFonts w:ascii="Arial" w:hAnsi="Arial" w:cs="Arial"/>
        </w:rPr>
        <w:t xml:space="preserve"> 45 </w:t>
      </w:r>
      <w:r w:rsidRPr="00AE1A7C">
        <w:rPr>
          <w:rFonts w:ascii="Arial" w:hAnsi="Arial" w:cs="Arial"/>
        </w:rPr>
        <w:t>m, Coordonate Stereo 70 ale axului forajului de alimentare cu apă: X</w:t>
      </w:r>
      <w:r>
        <w:rPr>
          <w:rFonts w:ascii="Arial" w:hAnsi="Arial" w:cs="Arial"/>
        </w:rPr>
        <w:t xml:space="preserve"> </w:t>
      </w:r>
      <w:r w:rsidRPr="00AE1A7C">
        <w:rPr>
          <w:rFonts w:ascii="Arial" w:hAnsi="Arial" w:cs="Arial"/>
        </w:rPr>
        <w:t>-</w:t>
      </w:r>
      <w:r>
        <w:rPr>
          <w:rFonts w:ascii="Arial" w:hAnsi="Arial" w:cs="Arial"/>
        </w:rPr>
        <w:t xml:space="preserve"> 337506.617</w:t>
      </w:r>
      <w:r w:rsidRPr="00AE1A7C">
        <w:rPr>
          <w:rFonts w:ascii="Arial" w:hAnsi="Arial" w:cs="Arial"/>
        </w:rPr>
        <w:t>; Y</w:t>
      </w:r>
      <w:r>
        <w:rPr>
          <w:rFonts w:ascii="Arial" w:hAnsi="Arial" w:cs="Arial"/>
        </w:rPr>
        <w:t xml:space="preserve"> </w:t>
      </w:r>
      <w:r w:rsidRPr="00AE1A7C">
        <w:rPr>
          <w:rFonts w:ascii="Arial" w:hAnsi="Arial" w:cs="Arial"/>
        </w:rPr>
        <w:t>-</w:t>
      </w:r>
      <w:r>
        <w:rPr>
          <w:rFonts w:ascii="Arial" w:hAnsi="Arial" w:cs="Arial"/>
        </w:rPr>
        <w:t xml:space="preserve"> 607602.655.</w:t>
      </w:r>
    </w:p>
    <w:p w14:paraId="7C1A0EA4" w14:textId="77777777" w:rsidR="005436AA" w:rsidRPr="00F32618" w:rsidRDefault="005436AA" w:rsidP="005436AA">
      <w:pPr>
        <w:spacing w:after="0" w:line="240" w:lineRule="auto"/>
        <w:jc w:val="both"/>
        <w:rPr>
          <w:rFonts w:ascii="Arial" w:hAnsi="Arial" w:cs="Arial"/>
          <w:sz w:val="24"/>
          <w:szCs w:val="24"/>
        </w:rPr>
      </w:pPr>
      <w:r>
        <w:rPr>
          <w:rFonts w:ascii="Arial" w:hAnsi="Arial" w:cs="Arial"/>
          <w:sz w:val="24"/>
          <w:szCs w:val="24"/>
          <w:lang w:val="fr-FR"/>
        </w:rPr>
        <w:t>Î</w:t>
      </w:r>
      <w:r w:rsidRPr="00F32618">
        <w:rPr>
          <w:rFonts w:ascii="Arial" w:hAnsi="Arial" w:cs="Arial"/>
          <w:sz w:val="24"/>
          <w:szCs w:val="24"/>
          <w:lang w:val="fr-FR"/>
        </w:rPr>
        <w:t>nmagazinarea apei -</w:t>
      </w:r>
      <w:r>
        <w:rPr>
          <w:rFonts w:ascii="Arial" w:hAnsi="Arial" w:cs="Arial"/>
          <w:sz w:val="24"/>
          <w:szCs w:val="24"/>
          <w:lang w:val="fr-FR"/>
        </w:rPr>
        <w:t xml:space="preserve"> </w:t>
      </w:r>
      <w:r w:rsidRPr="00F32618">
        <w:rPr>
          <w:rFonts w:ascii="Arial" w:hAnsi="Arial" w:cs="Arial"/>
          <w:sz w:val="24"/>
          <w:szCs w:val="24"/>
          <w:lang w:val="fr-FR"/>
        </w:rPr>
        <w:t>rezervor din polietilenă cu V</w:t>
      </w:r>
      <w:r w:rsidRPr="00F32618">
        <w:rPr>
          <w:rFonts w:ascii="Arial" w:hAnsi="Arial" w:cs="Arial"/>
          <w:sz w:val="24"/>
          <w:szCs w:val="24"/>
          <w:vertAlign w:val="subscript"/>
          <w:lang w:val="fr-FR"/>
        </w:rPr>
        <w:t xml:space="preserve">1 </w:t>
      </w:r>
      <w:r w:rsidRPr="00F32618">
        <w:rPr>
          <w:rFonts w:ascii="Arial" w:hAnsi="Arial" w:cs="Arial"/>
          <w:sz w:val="24"/>
          <w:szCs w:val="24"/>
          <w:lang w:val="fr-FR"/>
        </w:rPr>
        <w:t>=</w:t>
      </w:r>
      <w:r>
        <w:rPr>
          <w:rFonts w:ascii="Arial" w:hAnsi="Arial" w:cs="Arial"/>
          <w:sz w:val="24"/>
          <w:szCs w:val="24"/>
          <w:lang w:val="fr-FR"/>
        </w:rPr>
        <w:t xml:space="preserve"> </w:t>
      </w:r>
      <w:r w:rsidRPr="00F32618">
        <w:rPr>
          <w:rFonts w:ascii="Arial" w:hAnsi="Arial" w:cs="Arial"/>
          <w:sz w:val="24"/>
          <w:szCs w:val="24"/>
          <w:lang w:val="fr-FR"/>
        </w:rPr>
        <w:t>1,60</w:t>
      </w:r>
      <w:r w:rsidRPr="00F32618">
        <w:rPr>
          <w:rFonts w:ascii="Arial" w:hAnsi="Arial" w:cs="Arial"/>
          <w:sz w:val="24"/>
          <w:szCs w:val="24"/>
        </w:rPr>
        <w:t xml:space="preserve"> m³, pentru consum </w:t>
      </w:r>
      <w:r>
        <w:rPr>
          <w:rFonts w:ascii="Arial" w:hAnsi="Arial" w:cs="Arial"/>
          <w:sz w:val="24"/>
          <w:szCs w:val="24"/>
        </w:rPr>
        <w:t>curent;</w:t>
      </w:r>
    </w:p>
    <w:p w14:paraId="425FB2E8" w14:textId="0EB09F98" w:rsidR="00F32618" w:rsidRDefault="005436AA" w:rsidP="005436AA">
      <w:pPr>
        <w:spacing w:after="0" w:line="240" w:lineRule="auto"/>
        <w:jc w:val="both"/>
        <w:rPr>
          <w:rFonts w:ascii="Arial" w:hAnsi="Arial" w:cs="Arial"/>
          <w:sz w:val="24"/>
          <w:szCs w:val="24"/>
        </w:rPr>
      </w:pPr>
      <w:r w:rsidRPr="00F32618">
        <w:rPr>
          <w:rFonts w:ascii="Arial" w:hAnsi="Arial" w:cs="Arial"/>
          <w:sz w:val="24"/>
          <w:szCs w:val="24"/>
        </w:rPr>
        <w:t xml:space="preserve">                                </w:t>
      </w:r>
      <w:r>
        <w:rPr>
          <w:rFonts w:ascii="Arial" w:hAnsi="Arial" w:cs="Arial"/>
          <w:sz w:val="24"/>
          <w:szCs w:val="24"/>
        </w:rPr>
        <w:t xml:space="preserve"> </w:t>
      </w:r>
      <w:r w:rsidRPr="00F32618">
        <w:rPr>
          <w:rFonts w:ascii="Arial" w:hAnsi="Arial" w:cs="Arial"/>
          <w:sz w:val="24"/>
          <w:szCs w:val="24"/>
        </w:rPr>
        <w:t>- rezervor din oțel cu V</w:t>
      </w:r>
      <w:r w:rsidRPr="00F32618">
        <w:rPr>
          <w:rFonts w:ascii="Arial" w:hAnsi="Arial" w:cs="Arial"/>
          <w:sz w:val="24"/>
          <w:szCs w:val="24"/>
          <w:vertAlign w:val="subscript"/>
        </w:rPr>
        <w:t xml:space="preserve">2 </w:t>
      </w:r>
      <w:r w:rsidRPr="00F32618">
        <w:rPr>
          <w:rFonts w:ascii="Arial" w:hAnsi="Arial" w:cs="Arial"/>
          <w:sz w:val="24"/>
          <w:szCs w:val="24"/>
        </w:rPr>
        <w:t>=</w:t>
      </w:r>
      <w:r>
        <w:rPr>
          <w:rFonts w:ascii="Arial" w:hAnsi="Arial" w:cs="Arial"/>
          <w:sz w:val="24"/>
          <w:szCs w:val="24"/>
        </w:rPr>
        <w:t xml:space="preserve"> </w:t>
      </w:r>
      <w:r w:rsidRPr="00F32618">
        <w:rPr>
          <w:rFonts w:ascii="Arial" w:hAnsi="Arial" w:cs="Arial"/>
          <w:sz w:val="24"/>
          <w:szCs w:val="24"/>
        </w:rPr>
        <w:t>330</w:t>
      </w:r>
      <w:r w:rsidRPr="00F32618">
        <w:rPr>
          <w:rFonts w:ascii="Arial" w:hAnsi="Arial" w:cs="Arial"/>
          <w:sz w:val="24"/>
          <w:szCs w:val="24"/>
          <w:lang w:val="fr-FR"/>
        </w:rPr>
        <w:t xml:space="preserve"> </w:t>
      </w:r>
      <w:r w:rsidRPr="00F32618">
        <w:rPr>
          <w:rFonts w:ascii="Arial" w:hAnsi="Arial" w:cs="Arial"/>
          <w:sz w:val="24"/>
          <w:szCs w:val="24"/>
        </w:rPr>
        <w:t>m³, pentru stocarea rezervei de incendiu</w:t>
      </w:r>
      <w:r>
        <w:rPr>
          <w:rFonts w:ascii="Arial" w:hAnsi="Arial" w:cs="Arial"/>
          <w:sz w:val="24"/>
          <w:szCs w:val="24"/>
        </w:rPr>
        <w:t>.</w:t>
      </w:r>
    </w:p>
    <w:p w14:paraId="4CC1F730" w14:textId="116A5230" w:rsidR="00194A57" w:rsidRDefault="00194A57" w:rsidP="00194A57">
      <w:pPr>
        <w:spacing w:after="0" w:line="240" w:lineRule="auto"/>
        <w:jc w:val="both"/>
        <w:rPr>
          <w:rFonts w:ascii="Arial" w:hAnsi="Arial" w:cs="Arial"/>
          <w:b/>
          <w:sz w:val="24"/>
          <w:szCs w:val="24"/>
        </w:rPr>
      </w:pPr>
      <w:r w:rsidRPr="002C6352">
        <w:rPr>
          <w:rFonts w:ascii="Arial" w:hAnsi="Arial" w:cs="Arial"/>
          <w:b/>
          <w:sz w:val="24"/>
          <w:szCs w:val="24"/>
        </w:rPr>
        <w:t xml:space="preserve">EVACUAREA APELOR UZATE: </w:t>
      </w:r>
    </w:p>
    <w:p w14:paraId="3C8B6C99" w14:textId="3F1209F7" w:rsidR="005436AA" w:rsidRDefault="005436AA" w:rsidP="005436AA">
      <w:pPr>
        <w:spacing w:after="0" w:line="240" w:lineRule="auto"/>
        <w:ind w:right="6"/>
        <w:jc w:val="both"/>
        <w:rPr>
          <w:rFonts w:ascii="Arial" w:hAnsi="Arial" w:cs="Arial"/>
          <w:lang w:val="fr-FR"/>
        </w:rPr>
      </w:pPr>
      <w:r>
        <w:rPr>
          <w:rFonts w:ascii="Arial" w:hAnsi="Arial" w:cs="Arial"/>
          <w:lang w:val="fr-FR"/>
        </w:rPr>
        <w:t>- apele uzate menajere - evacuate prin vidanjare;</w:t>
      </w:r>
    </w:p>
    <w:p w14:paraId="4BD1F170" w14:textId="71BF399C" w:rsidR="005436AA" w:rsidRDefault="005436AA" w:rsidP="005436AA">
      <w:pPr>
        <w:spacing w:after="0" w:line="240" w:lineRule="auto"/>
        <w:ind w:right="6"/>
        <w:jc w:val="both"/>
        <w:rPr>
          <w:rFonts w:ascii="Arial" w:hAnsi="Arial" w:cs="Arial"/>
          <w:lang w:val="fr-FR"/>
        </w:rPr>
      </w:pPr>
      <w:r>
        <w:rPr>
          <w:rFonts w:ascii="Arial" w:hAnsi="Arial" w:cs="Arial"/>
          <w:lang w:val="fr-FR"/>
        </w:rPr>
        <w:t>- apele pluviale de pe platformele betonate sunt trecute printr-un separator de produse petroliere, stocate într-un bazin de retenție și utilizate la udarea spațiilor verzi din incintă.</w:t>
      </w:r>
    </w:p>
    <w:p w14:paraId="36DFA360" w14:textId="77777777" w:rsidR="005436AA" w:rsidRPr="002C6352" w:rsidRDefault="005436AA" w:rsidP="00194A57">
      <w:pPr>
        <w:spacing w:after="0" w:line="240" w:lineRule="auto"/>
        <w:jc w:val="both"/>
        <w:rPr>
          <w:rFonts w:ascii="Arial" w:hAnsi="Arial" w:cs="Arial"/>
          <w:b/>
          <w:sz w:val="24"/>
          <w:szCs w:val="24"/>
        </w:rPr>
      </w:pPr>
    </w:p>
    <w:p w14:paraId="33FDC850"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D44574">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87A1B">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4911DE">
      <w:pPr>
        <w:spacing w:after="0"/>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0BFD8D89" w:rsidR="00C556F2" w:rsidRPr="003A45A5" w:rsidRDefault="00687A1B" w:rsidP="004911DE">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conf. </w:t>
      </w:r>
      <w:r w:rsidR="00C556F2" w:rsidRPr="003A45A5">
        <w:rPr>
          <w:rFonts w:ascii="Arial" w:hAnsi="Arial" w:cs="Arial"/>
          <w:sz w:val="24"/>
          <w:szCs w:val="24"/>
          <w:lang w:val="ro-RO"/>
        </w:rPr>
        <w:t>Certificatul de Urbanism nr</w:t>
      </w:r>
      <w:r w:rsidR="005C7D5B">
        <w:rPr>
          <w:rFonts w:ascii="Arial" w:hAnsi="Arial" w:cs="Arial"/>
          <w:sz w:val="24"/>
          <w:szCs w:val="24"/>
          <w:lang w:val="ro-RO"/>
        </w:rPr>
        <w:t>.</w:t>
      </w:r>
      <w:r w:rsidR="00C556F2" w:rsidRPr="003A45A5">
        <w:rPr>
          <w:rFonts w:ascii="Arial" w:hAnsi="Arial" w:cs="Arial"/>
          <w:sz w:val="24"/>
          <w:szCs w:val="24"/>
          <w:lang w:val="ro-RO"/>
        </w:rPr>
        <w:t xml:space="preserve"> </w:t>
      </w:r>
      <w:r w:rsidR="005436AA">
        <w:rPr>
          <w:rFonts w:ascii="Arial" w:hAnsi="Arial" w:cs="Arial"/>
          <w:sz w:val="24"/>
          <w:szCs w:val="24"/>
          <w:lang w:val="ro-RO"/>
        </w:rPr>
        <w:t>45</w:t>
      </w:r>
      <w:r w:rsidR="006E765C">
        <w:rPr>
          <w:rFonts w:ascii="Arial" w:hAnsi="Arial" w:cs="Arial"/>
          <w:sz w:val="24"/>
          <w:szCs w:val="24"/>
          <w:lang w:val="ro-RO"/>
        </w:rPr>
        <w:t>/</w:t>
      </w:r>
      <w:r w:rsidR="002C6CAB">
        <w:rPr>
          <w:rFonts w:ascii="Arial" w:hAnsi="Arial" w:cs="Arial"/>
          <w:sz w:val="24"/>
          <w:szCs w:val="24"/>
          <w:lang w:val="ro-RO"/>
        </w:rPr>
        <w:t xml:space="preserve">1673 din </w:t>
      </w:r>
      <w:r w:rsidR="005436AA">
        <w:rPr>
          <w:rFonts w:ascii="Arial" w:hAnsi="Arial" w:cs="Arial"/>
          <w:sz w:val="24"/>
          <w:szCs w:val="24"/>
          <w:lang w:val="ro-RO"/>
        </w:rPr>
        <w:t>11</w:t>
      </w:r>
      <w:r w:rsidR="006E765C">
        <w:rPr>
          <w:rFonts w:ascii="Arial" w:hAnsi="Arial" w:cs="Arial"/>
          <w:sz w:val="24"/>
          <w:szCs w:val="24"/>
          <w:lang w:val="ro-RO"/>
        </w:rPr>
        <w:t>.</w:t>
      </w:r>
      <w:r w:rsidR="005C7D5B">
        <w:rPr>
          <w:rFonts w:ascii="Arial" w:hAnsi="Arial" w:cs="Arial"/>
          <w:sz w:val="24"/>
          <w:szCs w:val="24"/>
          <w:lang w:val="ro-RO"/>
        </w:rPr>
        <w:t>0</w:t>
      </w:r>
      <w:r w:rsidR="005436AA">
        <w:rPr>
          <w:rFonts w:ascii="Arial" w:hAnsi="Arial" w:cs="Arial"/>
          <w:sz w:val="24"/>
          <w:szCs w:val="24"/>
          <w:lang w:val="ro-RO"/>
        </w:rPr>
        <w:t>3</w:t>
      </w:r>
      <w:r w:rsidR="006E765C">
        <w:rPr>
          <w:rFonts w:ascii="Arial" w:hAnsi="Arial" w:cs="Arial"/>
          <w:sz w:val="24"/>
          <w:szCs w:val="24"/>
          <w:lang w:val="ro-RO"/>
        </w:rPr>
        <w:t>.202</w:t>
      </w:r>
      <w:r w:rsidR="005C7D5B">
        <w:rPr>
          <w:rFonts w:ascii="Arial" w:hAnsi="Arial" w:cs="Arial"/>
          <w:sz w:val="24"/>
          <w:szCs w:val="24"/>
          <w:lang w:val="ro-RO"/>
        </w:rPr>
        <w:t>2</w:t>
      </w:r>
      <w:r w:rsidR="00D77DF4" w:rsidRPr="003A45A5">
        <w:rPr>
          <w:rFonts w:ascii="Arial" w:hAnsi="Arial" w:cs="Arial"/>
          <w:sz w:val="24"/>
          <w:szCs w:val="24"/>
          <w:lang w:val="ro-RO"/>
        </w:rPr>
        <w:t xml:space="preserve"> emis de Prim</w:t>
      </w:r>
      <w:r w:rsidR="005C7D5B">
        <w:rPr>
          <w:rFonts w:ascii="Arial" w:hAnsi="Arial" w:cs="Arial"/>
          <w:sz w:val="24"/>
          <w:szCs w:val="24"/>
          <w:lang w:val="ro-RO"/>
        </w:rPr>
        <w:t>ă</w:t>
      </w:r>
      <w:r w:rsidR="00D77DF4" w:rsidRPr="003A45A5">
        <w:rPr>
          <w:rFonts w:ascii="Arial" w:hAnsi="Arial" w:cs="Arial"/>
          <w:sz w:val="24"/>
          <w:szCs w:val="24"/>
          <w:lang w:val="ro-RO"/>
        </w:rPr>
        <w:t xml:space="preserve">ria </w:t>
      </w:r>
      <w:r w:rsidR="006E765C">
        <w:rPr>
          <w:rFonts w:ascii="Arial" w:hAnsi="Arial" w:cs="Arial"/>
          <w:sz w:val="24"/>
          <w:szCs w:val="24"/>
          <w:lang w:val="ro-RO"/>
        </w:rPr>
        <w:t>Ora</w:t>
      </w:r>
      <w:r w:rsidR="005C7D5B">
        <w:rPr>
          <w:rFonts w:ascii="Arial" w:hAnsi="Arial" w:cs="Arial"/>
          <w:sz w:val="24"/>
          <w:szCs w:val="24"/>
          <w:lang w:val="ro-RO"/>
        </w:rPr>
        <w:t>ș</w:t>
      </w:r>
      <w:r w:rsidR="006E765C">
        <w:rPr>
          <w:rFonts w:ascii="Arial" w:hAnsi="Arial" w:cs="Arial"/>
          <w:sz w:val="24"/>
          <w:szCs w:val="24"/>
          <w:lang w:val="ro-RO"/>
        </w:rPr>
        <w:t>ului Bu</w:t>
      </w:r>
      <w:r w:rsidR="005C7D5B">
        <w:rPr>
          <w:rFonts w:ascii="Arial" w:hAnsi="Arial" w:cs="Arial"/>
          <w:sz w:val="24"/>
          <w:szCs w:val="24"/>
          <w:lang w:val="ro-RO"/>
        </w:rPr>
        <w:t>ftea</w:t>
      </w:r>
      <w:r w:rsidR="00C556F2" w:rsidRPr="003A45A5">
        <w:rPr>
          <w:rFonts w:ascii="Arial" w:hAnsi="Arial" w:cs="Arial"/>
          <w:sz w:val="24"/>
          <w:szCs w:val="24"/>
          <w:lang w:val="ro-RO"/>
        </w:rPr>
        <w:t>.</w:t>
      </w:r>
    </w:p>
    <w:p w14:paraId="1F7BF60B" w14:textId="02E89BA1" w:rsidR="00C556F2" w:rsidRPr="003A45A5" w:rsidRDefault="00C556F2" w:rsidP="004911DE">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6E765C">
        <w:rPr>
          <w:rFonts w:ascii="Arial" w:hAnsi="Arial" w:cs="Arial"/>
          <w:b/>
          <w:sz w:val="24"/>
          <w:szCs w:val="24"/>
        </w:rPr>
        <w:t xml:space="preserve">UTR </w:t>
      </w:r>
      <w:r w:rsidR="005436AA">
        <w:rPr>
          <w:rFonts w:ascii="Arial" w:hAnsi="Arial" w:cs="Arial"/>
          <w:b/>
          <w:sz w:val="24"/>
          <w:szCs w:val="24"/>
        </w:rPr>
        <w:t xml:space="preserve">11 </w:t>
      </w:r>
      <w:r w:rsidR="006E765C">
        <w:rPr>
          <w:rFonts w:ascii="Arial" w:hAnsi="Arial" w:cs="Arial"/>
          <w:b/>
          <w:sz w:val="24"/>
          <w:szCs w:val="24"/>
        </w:rPr>
        <w:t xml:space="preserve">– </w:t>
      </w:r>
      <w:r w:rsidR="00182E4A">
        <w:rPr>
          <w:rFonts w:ascii="Arial" w:hAnsi="Arial" w:cs="Arial"/>
          <w:b/>
          <w:sz w:val="24"/>
          <w:szCs w:val="24"/>
        </w:rPr>
        <w:t>Issvp 11 – subzona unități birouri servicii, comerț; Dp 11 – subzone depozitare; CCre 11 -subzona căi de comunicații existente, CCrp 11 – subzona căi de comunicație, propuse; Ppp 11 – subzone spații verzi de protecție, TE 11 – subzona lucrări edilitare și construcții aferente;</w:t>
      </w:r>
    </w:p>
    <w:p w14:paraId="719ABE97" w14:textId="77777777" w:rsidR="00687A1B" w:rsidRPr="003A45A5" w:rsidRDefault="00687A1B" w:rsidP="004911DE">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4911DE">
      <w:pPr>
        <w:autoSpaceDE w:val="0"/>
        <w:autoSpaceDN w:val="0"/>
        <w:adjustRightInd w:val="0"/>
        <w:spacing w:after="0"/>
        <w:rPr>
          <w:rFonts w:ascii="Arial" w:hAnsi="Arial" w:cs="Arial"/>
          <w:sz w:val="24"/>
          <w:szCs w:val="24"/>
        </w:rPr>
      </w:pPr>
      <w:r w:rsidRPr="003A45A5">
        <w:rPr>
          <w:rFonts w:ascii="Arial" w:hAnsi="Arial" w:cs="Arial"/>
          <w:sz w:val="24"/>
          <w:szCs w:val="24"/>
        </w:rPr>
        <w:lastRenderedPageBreak/>
        <w:t>2.3. capacitatea de absorbţie a mediului, cu atenţie deosebită pentru:</w:t>
      </w:r>
    </w:p>
    <w:p w14:paraId="6FE477C0" w14:textId="77777777" w:rsidR="00687A1B" w:rsidRPr="003A45A5" w:rsidRDefault="00687A1B" w:rsidP="004911DE">
      <w:pPr>
        <w:autoSpaceDE w:val="0"/>
        <w:autoSpaceDN w:val="0"/>
        <w:adjustRightInd w:val="0"/>
        <w:spacing w:after="0"/>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4911DE">
      <w:pPr>
        <w:autoSpaceDE w:val="0"/>
        <w:autoSpaceDN w:val="0"/>
        <w:adjustRightInd w:val="0"/>
        <w:spacing w:after="0"/>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4911DE">
      <w:pPr>
        <w:autoSpaceDE w:val="0"/>
        <w:autoSpaceDN w:val="0"/>
        <w:adjustRightInd w:val="0"/>
        <w:spacing w:after="0"/>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4911DE">
      <w:pPr>
        <w:autoSpaceDE w:val="0"/>
        <w:autoSpaceDN w:val="0"/>
        <w:adjustRightInd w:val="0"/>
        <w:spacing w:after="0"/>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4911DE">
      <w:pPr>
        <w:autoSpaceDE w:val="0"/>
        <w:autoSpaceDN w:val="0"/>
        <w:adjustRightInd w:val="0"/>
        <w:spacing w:after="0"/>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4911DE">
      <w:pPr>
        <w:autoSpaceDE w:val="0"/>
        <w:autoSpaceDN w:val="0"/>
        <w:adjustRightInd w:val="0"/>
        <w:spacing w:after="0"/>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4911DE">
      <w:pPr>
        <w:autoSpaceDE w:val="0"/>
        <w:autoSpaceDN w:val="0"/>
        <w:adjustRightInd w:val="0"/>
        <w:spacing w:after="0"/>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4911DE">
      <w:pPr>
        <w:autoSpaceDE w:val="0"/>
        <w:autoSpaceDN w:val="0"/>
        <w:adjustRightInd w:val="0"/>
        <w:spacing w:after="0"/>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4911DE">
      <w:pPr>
        <w:autoSpaceDE w:val="0"/>
        <w:autoSpaceDN w:val="0"/>
        <w:adjustRightInd w:val="0"/>
        <w:spacing w:after="0"/>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4911DE">
      <w:pPr>
        <w:autoSpaceDE w:val="0"/>
        <w:autoSpaceDN w:val="0"/>
        <w:adjustRightInd w:val="0"/>
        <w:spacing w:after="0"/>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4911DE">
      <w:pPr>
        <w:autoSpaceDE w:val="0"/>
        <w:autoSpaceDN w:val="0"/>
        <w:adjustRightInd w:val="0"/>
        <w:spacing w:after="0"/>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4911DE">
      <w:pPr>
        <w:autoSpaceDE w:val="0"/>
        <w:autoSpaceDN w:val="0"/>
        <w:adjustRightInd w:val="0"/>
        <w:spacing w:after="0"/>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4911DE">
      <w:pPr>
        <w:autoSpaceDE w:val="0"/>
        <w:autoSpaceDN w:val="0"/>
        <w:adjustRightInd w:val="0"/>
        <w:spacing w:after="0"/>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4911DE">
      <w:pPr>
        <w:autoSpaceDE w:val="0"/>
        <w:autoSpaceDN w:val="0"/>
        <w:adjustRightInd w:val="0"/>
        <w:spacing w:after="0"/>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4911DE">
      <w:pPr>
        <w:spacing w:after="0"/>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4911DE">
      <w:pPr>
        <w:pStyle w:val="TextnormalCharCaracter"/>
        <w:spacing w:before="0" w:after="0" w:line="276" w:lineRule="auto"/>
        <w:ind w:left="0"/>
        <w:rPr>
          <w:rFonts w:cs="Arial"/>
          <w:b/>
          <w:sz w:val="24"/>
          <w:szCs w:val="24"/>
        </w:rPr>
      </w:pPr>
      <w:r w:rsidRPr="003A45A5">
        <w:rPr>
          <w:rFonts w:cs="Arial"/>
          <w:b/>
          <w:sz w:val="24"/>
          <w:szCs w:val="24"/>
        </w:rPr>
        <w:t>4. Conditiile de realizare a proiectului:</w:t>
      </w:r>
    </w:p>
    <w:p w14:paraId="5538474D" w14:textId="15A953AF" w:rsidR="00687A1B" w:rsidRDefault="00687A1B" w:rsidP="004911DE">
      <w:pPr>
        <w:pStyle w:val="ListParagraph"/>
        <w:numPr>
          <w:ilvl w:val="0"/>
          <w:numId w:val="38"/>
        </w:numPr>
        <w:spacing w:after="0"/>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xml:space="preserve">. </w:t>
      </w:r>
      <w:r w:rsidR="002C6CAB">
        <w:rPr>
          <w:rFonts w:ascii="Arial" w:hAnsi="Arial" w:cs="Arial"/>
          <w:b/>
          <w:sz w:val="24"/>
          <w:szCs w:val="24"/>
          <w:lang w:val="ro-RO"/>
        </w:rPr>
        <w:t>45/1673 din 11</w:t>
      </w:r>
      <w:r w:rsidR="00723232" w:rsidRPr="00723232">
        <w:rPr>
          <w:rFonts w:ascii="Arial" w:hAnsi="Arial" w:cs="Arial"/>
          <w:b/>
          <w:sz w:val="24"/>
          <w:szCs w:val="24"/>
          <w:lang w:val="ro-RO"/>
        </w:rPr>
        <w:t>.</w:t>
      </w:r>
      <w:r w:rsidR="005C7D5B">
        <w:rPr>
          <w:rFonts w:ascii="Arial" w:hAnsi="Arial" w:cs="Arial"/>
          <w:b/>
          <w:sz w:val="24"/>
          <w:szCs w:val="24"/>
          <w:lang w:val="ro-RO"/>
        </w:rPr>
        <w:t>0</w:t>
      </w:r>
      <w:r w:rsidR="002C6CAB">
        <w:rPr>
          <w:rFonts w:ascii="Arial" w:hAnsi="Arial" w:cs="Arial"/>
          <w:b/>
          <w:sz w:val="24"/>
          <w:szCs w:val="24"/>
          <w:lang w:val="ro-RO"/>
        </w:rPr>
        <w:t>3</w:t>
      </w:r>
      <w:r w:rsidR="00723232" w:rsidRPr="00723232">
        <w:rPr>
          <w:rFonts w:ascii="Arial" w:hAnsi="Arial" w:cs="Arial"/>
          <w:b/>
          <w:sz w:val="24"/>
          <w:szCs w:val="24"/>
          <w:lang w:val="ro-RO"/>
        </w:rPr>
        <w:t>.202</w:t>
      </w:r>
      <w:r w:rsidR="005C7D5B">
        <w:rPr>
          <w:rFonts w:ascii="Arial" w:hAnsi="Arial" w:cs="Arial"/>
          <w:b/>
          <w:sz w:val="24"/>
          <w:szCs w:val="24"/>
          <w:lang w:val="ro-RO"/>
        </w:rPr>
        <w:t>2</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 xml:space="preserve">ria </w:t>
      </w:r>
      <w:r w:rsidR="002C6CAB">
        <w:rPr>
          <w:rFonts w:ascii="Arial" w:hAnsi="Arial" w:cs="Arial"/>
          <w:b/>
          <w:sz w:val="24"/>
          <w:szCs w:val="24"/>
          <w:lang w:val="ro-RO"/>
        </w:rPr>
        <w:t>comunei Găneasa</w:t>
      </w:r>
      <w:r w:rsidRPr="003A45A5">
        <w:rPr>
          <w:rFonts w:ascii="Arial" w:hAnsi="Arial" w:cs="Arial"/>
          <w:b/>
          <w:sz w:val="24"/>
          <w:szCs w:val="24"/>
        </w:rPr>
        <w:t>;</w:t>
      </w:r>
    </w:p>
    <w:p w14:paraId="6B1447C3" w14:textId="4854AC06" w:rsidR="005C7D5B" w:rsidRPr="005C7D5B" w:rsidRDefault="005C7D5B" w:rsidP="004911DE">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 xml:space="preserve">condițiile impuse prin </w:t>
      </w:r>
      <w:r w:rsidR="002C6CAB">
        <w:rPr>
          <w:rFonts w:ascii="Arial" w:hAnsi="Arial" w:cs="Arial"/>
          <w:sz w:val="24"/>
          <w:szCs w:val="24"/>
          <w:lang w:val="ro-RO"/>
        </w:rPr>
        <w:t>Documentația de Urbanism</w:t>
      </w:r>
      <w:r w:rsidR="007F09CE">
        <w:rPr>
          <w:rFonts w:ascii="Arial" w:hAnsi="Arial" w:cs="Arial"/>
          <w:sz w:val="24"/>
          <w:szCs w:val="24"/>
          <w:lang w:val="ro-RO"/>
        </w:rPr>
        <w:t xml:space="preserve"> aprobat</w:t>
      </w:r>
      <w:r w:rsidR="002C6CAB">
        <w:rPr>
          <w:rFonts w:ascii="Arial" w:hAnsi="Arial" w:cs="Arial"/>
          <w:sz w:val="24"/>
          <w:szCs w:val="24"/>
          <w:lang w:val="ro-RO"/>
        </w:rPr>
        <w:t>ă</w:t>
      </w:r>
      <w:r w:rsidR="007F09CE">
        <w:rPr>
          <w:rFonts w:ascii="Arial" w:hAnsi="Arial" w:cs="Arial"/>
          <w:sz w:val="24"/>
          <w:szCs w:val="24"/>
          <w:lang w:val="ro-RO"/>
        </w:rPr>
        <w:t xml:space="preserve"> cu H.C.L. </w:t>
      </w:r>
      <w:r w:rsidR="002C6CAB">
        <w:rPr>
          <w:rFonts w:ascii="Arial" w:hAnsi="Arial" w:cs="Arial"/>
          <w:sz w:val="24"/>
          <w:szCs w:val="24"/>
          <w:lang w:val="ro-RO"/>
        </w:rPr>
        <w:t xml:space="preserve">GĂNEASA </w:t>
      </w:r>
      <w:r w:rsidRPr="003A45A5">
        <w:rPr>
          <w:rFonts w:ascii="Arial" w:hAnsi="Arial" w:cs="Arial"/>
          <w:sz w:val="24"/>
          <w:szCs w:val="24"/>
          <w:lang w:val="ro-RO"/>
        </w:rPr>
        <w:t xml:space="preserve"> nr. </w:t>
      </w:r>
      <w:r w:rsidR="002C6CAB">
        <w:rPr>
          <w:rFonts w:ascii="Arial" w:hAnsi="Arial" w:cs="Arial"/>
          <w:sz w:val="24"/>
          <w:szCs w:val="24"/>
          <w:lang w:val="ro-RO"/>
        </w:rPr>
        <w:t>0</w:t>
      </w:r>
      <w:r w:rsidR="007F09CE">
        <w:rPr>
          <w:rFonts w:ascii="Arial" w:hAnsi="Arial" w:cs="Arial"/>
          <w:sz w:val="24"/>
          <w:szCs w:val="24"/>
          <w:lang w:val="ro-RO"/>
        </w:rPr>
        <w:t>6</w:t>
      </w:r>
      <w:r w:rsidRPr="003A45A5">
        <w:rPr>
          <w:rFonts w:ascii="Arial" w:hAnsi="Arial" w:cs="Arial"/>
          <w:sz w:val="24"/>
          <w:szCs w:val="24"/>
          <w:lang w:val="ro-RO"/>
        </w:rPr>
        <w:t>/</w:t>
      </w:r>
      <w:r w:rsidR="002C6CAB">
        <w:rPr>
          <w:rFonts w:ascii="Arial" w:hAnsi="Arial" w:cs="Arial"/>
          <w:sz w:val="24"/>
          <w:szCs w:val="24"/>
          <w:lang w:val="ro-RO"/>
        </w:rPr>
        <w:t>0</w:t>
      </w:r>
      <w:r w:rsidR="007F09CE">
        <w:rPr>
          <w:rFonts w:ascii="Arial" w:hAnsi="Arial" w:cs="Arial"/>
          <w:sz w:val="24"/>
          <w:szCs w:val="24"/>
          <w:lang w:val="ro-RO"/>
        </w:rPr>
        <w:t>3.0</w:t>
      </w:r>
      <w:r w:rsidR="002C6CAB">
        <w:rPr>
          <w:rFonts w:ascii="Arial" w:hAnsi="Arial" w:cs="Arial"/>
          <w:sz w:val="24"/>
          <w:szCs w:val="24"/>
          <w:lang w:val="ro-RO"/>
        </w:rPr>
        <w:t>3</w:t>
      </w:r>
      <w:r w:rsidR="007F09CE">
        <w:rPr>
          <w:rFonts w:ascii="Arial" w:hAnsi="Arial" w:cs="Arial"/>
          <w:sz w:val="24"/>
          <w:szCs w:val="24"/>
          <w:lang w:val="ro-RO"/>
        </w:rPr>
        <w:t>.</w:t>
      </w:r>
      <w:r w:rsidRPr="003A45A5">
        <w:rPr>
          <w:rFonts w:ascii="Arial" w:hAnsi="Arial" w:cs="Arial"/>
          <w:sz w:val="24"/>
          <w:szCs w:val="24"/>
          <w:lang w:val="ro-RO"/>
        </w:rPr>
        <w:t>20</w:t>
      </w:r>
      <w:r w:rsidR="002C6CAB">
        <w:rPr>
          <w:rFonts w:ascii="Arial" w:hAnsi="Arial" w:cs="Arial"/>
          <w:sz w:val="24"/>
          <w:szCs w:val="24"/>
          <w:lang w:val="ro-RO"/>
        </w:rPr>
        <w:t>06</w:t>
      </w:r>
      <w:r w:rsidRPr="003A45A5">
        <w:rPr>
          <w:rFonts w:ascii="Arial" w:hAnsi="Arial" w:cs="Arial"/>
          <w:sz w:val="24"/>
          <w:szCs w:val="24"/>
          <w:lang w:val="ro-RO"/>
        </w:rPr>
        <w:t>;</w:t>
      </w:r>
    </w:p>
    <w:p w14:paraId="0411E82C" w14:textId="77777777" w:rsidR="00687A1B" w:rsidRDefault="00687A1B" w:rsidP="004911DE">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3E049BDA" w14:textId="37DDD187" w:rsidR="0082032B" w:rsidRPr="003A45A5" w:rsidRDefault="0082032B" w:rsidP="004911DE">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Se vor respecta prevederile</w:t>
      </w:r>
      <w:r>
        <w:rPr>
          <w:rFonts w:ascii="Arial" w:hAnsi="Arial" w:cs="Arial"/>
          <w:sz w:val="24"/>
          <w:szCs w:val="24"/>
          <w:lang w:val="it-IT"/>
        </w:rPr>
        <w:t xml:space="preserve"> Leg</w:t>
      </w:r>
      <w:r w:rsidR="007F09CE">
        <w:rPr>
          <w:rFonts w:ascii="Arial" w:hAnsi="Arial" w:cs="Arial"/>
          <w:sz w:val="24"/>
          <w:szCs w:val="24"/>
          <w:lang w:val="it-IT"/>
        </w:rPr>
        <w:t>ii</w:t>
      </w:r>
      <w:r>
        <w:rPr>
          <w:rFonts w:ascii="Arial" w:hAnsi="Arial" w:cs="Arial"/>
          <w:sz w:val="24"/>
          <w:szCs w:val="24"/>
          <w:lang w:val="it-IT"/>
        </w:rPr>
        <w:t xml:space="preserve"> 278/2013 privind emisiile industriale</w:t>
      </w:r>
      <w:r w:rsidR="002F4505">
        <w:rPr>
          <w:rFonts w:ascii="Arial" w:hAnsi="Arial" w:cs="Arial"/>
          <w:sz w:val="24"/>
          <w:szCs w:val="24"/>
          <w:lang w:val="it-IT"/>
        </w:rPr>
        <w:t>;</w:t>
      </w:r>
    </w:p>
    <w:p w14:paraId="51DBD90E"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sz w:val="24"/>
          <w:szCs w:val="24"/>
        </w:rPr>
        <w:t xml:space="preserve">Pe durata execuţiei lucrărilor se vor lua măsuri pentru respectarea normelor, standardelor şi legislaţiei privind protecţia mediului în vigoare (STAS 12574/1987, SR </w:t>
      </w:r>
      <w:r w:rsidRPr="003A45A5">
        <w:rPr>
          <w:rFonts w:ascii="Arial" w:hAnsi="Arial" w:cs="Arial"/>
          <w:sz w:val="24"/>
          <w:szCs w:val="24"/>
        </w:rPr>
        <w:lastRenderedPageBreak/>
        <w:t>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4911DE">
      <w:pPr>
        <w:pStyle w:val="ListParagraph"/>
        <w:numPr>
          <w:ilvl w:val="0"/>
          <w:numId w:val="38"/>
        </w:numPr>
        <w:spacing w:after="0"/>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7777777" w:rsidR="00687A1B" w:rsidRPr="003A45A5" w:rsidRDefault="007F09CE" w:rsidP="004911DE">
      <w:pPr>
        <w:pStyle w:val="Default"/>
        <w:numPr>
          <w:ilvl w:val="0"/>
          <w:numId w:val="39"/>
        </w:numPr>
        <w:tabs>
          <w:tab w:val="clear" w:pos="1428"/>
        </w:tabs>
        <w:spacing w:line="276" w:lineRule="auto"/>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Pr>
          <w:rFonts w:ascii="Arial" w:hAnsi="Arial" w:cs="Arial"/>
        </w:rPr>
        <w:t>;</w:t>
      </w:r>
    </w:p>
    <w:p w14:paraId="095F6C17" w14:textId="77777777" w:rsidR="00687A1B" w:rsidRPr="003A45A5" w:rsidRDefault="007F09CE" w:rsidP="004911DE">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4911DE">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4911DE">
      <w:pPr>
        <w:pStyle w:val="Default"/>
        <w:spacing w:line="276" w:lineRule="auto"/>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4911DE">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5F17D1BE" w:rsidR="00687A1B" w:rsidRPr="003A45A5" w:rsidRDefault="00687A1B" w:rsidP="004911DE">
      <w:pPr>
        <w:numPr>
          <w:ilvl w:val="0"/>
          <w:numId w:val="40"/>
        </w:numPr>
        <w:spacing w:after="0"/>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n limitele impuse de H.G. nr. 188/2002 anexa 3 - NTPA 00</w:t>
      </w:r>
      <w:r w:rsidR="006278C8">
        <w:rPr>
          <w:rFonts w:ascii="Arial" w:hAnsi="Arial" w:cs="Arial"/>
          <w:sz w:val="24"/>
          <w:szCs w:val="24"/>
        </w:rPr>
        <w:t>1</w:t>
      </w:r>
      <w:r w:rsidRPr="003A45A5">
        <w:rPr>
          <w:rFonts w:ascii="Arial" w:hAnsi="Arial" w:cs="Arial"/>
          <w:sz w:val="24"/>
          <w:szCs w:val="24"/>
        </w:rPr>
        <w:t xml:space="preserve">/2002, modificat </w:t>
      </w:r>
      <w:r w:rsidR="007F09CE">
        <w:rPr>
          <w:rFonts w:ascii="Arial" w:hAnsi="Arial" w:cs="Arial"/>
          <w:sz w:val="24"/>
          <w:szCs w:val="24"/>
        </w:rPr>
        <w:t>ș</w:t>
      </w:r>
      <w:r w:rsidRPr="003A45A5">
        <w:rPr>
          <w:rFonts w:ascii="Arial" w:hAnsi="Arial" w:cs="Arial"/>
          <w:sz w:val="24"/>
          <w:szCs w:val="24"/>
        </w:rPr>
        <w:t>i completat de H.G. nr. 352/2005.</w:t>
      </w:r>
    </w:p>
    <w:p w14:paraId="7809789D" w14:textId="77777777" w:rsidR="00286245" w:rsidRPr="003A45A5" w:rsidRDefault="00286245" w:rsidP="004911DE">
      <w:pPr>
        <w:pStyle w:val="Default"/>
        <w:numPr>
          <w:ilvl w:val="0"/>
          <w:numId w:val="40"/>
        </w:numPr>
        <w:spacing w:line="276" w:lineRule="auto"/>
        <w:jc w:val="both"/>
        <w:rPr>
          <w:rFonts w:ascii="Arial" w:hAnsi="Arial" w:cs="Arial"/>
        </w:rPr>
      </w:pPr>
      <w:r w:rsidRPr="003A45A5">
        <w:rPr>
          <w:rFonts w:ascii="Arial" w:hAnsi="Arial" w:cs="Arial"/>
          <w:b/>
        </w:rPr>
        <w:t>Se vor ob</w:t>
      </w:r>
      <w:r w:rsidR="007F09CE">
        <w:rPr>
          <w:rFonts w:ascii="Arial" w:hAnsi="Arial" w:cs="Arial"/>
          <w:b/>
        </w:rPr>
        <w:t>ț</w:t>
      </w:r>
      <w:r w:rsidRPr="003A45A5">
        <w:rPr>
          <w:rFonts w:ascii="Arial" w:hAnsi="Arial" w:cs="Arial"/>
          <w:b/>
        </w:rPr>
        <w:t xml:space="preserve">ine </w:t>
      </w:r>
      <w:r w:rsidR="007F09CE">
        <w:rPr>
          <w:rFonts w:ascii="Arial" w:hAnsi="Arial" w:cs="Arial"/>
          <w:b/>
        </w:rPr>
        <w:t>ș</w:t>
      </w:r>
      <w:r w:rsidRPr="003A45A5">
        <w:rPr>
          <w:rFonts w:ascii="Arial" w:hAnsi="Arial" w:cs="Arial"/>
          <w:b/>
        </w:rPr>
        <w:t>i se vor respecta condițiile impuse prin actele de reglementare emise de A.N.</w:t>
      </w:r>
      <w:r w:rsidR="00256573">
        <w:rPr>
          <w:rFonts w:ascii="Arial" w:hAnsi="Arial" w:cs="Arial"/>
          <w:b/>
        </w:rPr>
        <w:t xml:space="preserve"> </w:t>
      </w:r>
      <w:r w:rsidRPr="003A45A5">
        <w:rPr>
          <w:rFonts w:ascii="Arial" w:hAnsi="Arial" w:cs="Arial"/>
          <w:b/>
        </w:rPr>
        <w:t xml:space="preserve">”Apele Române” Administrația Bazinală de Apă Argeș-Vedea. </w:t>
      </w:r>
      <w:r w:rsidR="007F09CE">
        <w:rPr>
          <w:rFonts w:ascii="Arial" w:hAnsi="Arial" w:cs="Arial"/>
          <w:b/>
        </w:rPr>
        <w:t>Î</w:t>
      </w:r>
      <w:r w:rsidRPr="003A45A5">
        <w:rPr>
          <w:rFonts w:ascii="Arial" w:hAnsi="Arial" w:cs="Arial"/>
          <w:b/>
        </w:rPr>
        <w:t>n situa</w:t>
      </w:r>
      <w:r w:rsidR="007F09CE">
        <w:rPr>
          <w:rFonts w:ascii="Arial" w:hAnsi="Arial" w:cs="Arial"/>
          <w:b/>
        </w:rPr>
        <w:t>ț</w:t>
      </w:r>
      <w:r w:rsidRPr="003A45A5">
        <w:rPr>
          <w:rFonts w:ascii="Arial" w:hAnsi="Arial" w:cs="Arial"/>
          <w:b/>
        </w:rPr>
        <w:t xml:space="preserve">ia </w:t>
      </w:r>
      <w:r w:rsidR="007F09CE">
        <w:rPr>
          <w:rFonts w:ascii="Arial" w:hAnsi="Arial" w:cs="Arial"/>
          <w:b/>
        </w:rPr>
        <w:t>î</w:t>
      </w:r>
      <w:r w:rsidRPr="003A45A5">
        <w:rPr>
          <w:rFonts w:ascii="Arial" w:hAnsi="Arial" w:cs="Arial"/>
          <w:b/>
        </w:rPr>
        <w:t>n care solu</w:t>
      </w:r>
      <w:r w:rsidR="007F09CE">
        <w:rPr>
          <w:rFonts w:ascii="Arial" w:hAnsi="Arial" w:cs="Arial"/>
          <w:b/>
        </w:rPr>
        <w:t>ț</w:t>
      </w:r>
      <w:r w:rsidRPr="003A45A5">
        <w:rPr>
          <w:rFonts w:ascii="Arial" w:hAnsi="Arial" w:cs="Arial"/>
          <w:b/>
        </w:rPr>
        <w:t xml:space="preserve">iile acceptate de A.N. ”Apele Române” Administrația Bazinală de Apă Argeș-Vedea nu corespund cu cele prevazute </w:t>
      </w:r>
      <w:r w:rsidR="007F09CE">
        <w:rPr>
          <w:rFonts w:ascii="Arial" w:hAnsi="Arial" w:cs="Arial"/>
          <w:b/>
        </w:rPr>
        <w:t>î</w:t>
      </w:r>
      <w:r w:rsidRPr="003A45A5">
        <w:rPr>
          <w:rFonts w:ascii="Arial" w:hAnsi="Arial" w:cs="Arial"/>
          <w:b/>
        </w:rPr>
        <w:t>n prezentul act, atunci se va solicita revizuirea prezentului act administrativ emis de APM Ilfov;</w:t>
      </w:r>
    </w:p>
    <w:p w14:paraId="1E65216A" w14:textId="77777777" w:rsidR="00687A1B" w:rsidRPr="003A45A5" w:rsidRDefault="00687A1B" w:rsidP="004911DE">
      <w:pPr>
        <w:numPr>
          <w:ilvl w:val="0"/>
          <w:numId w:val="42"/>
        </w:numPr>
        <w:spacing w:after="0"/>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4911DE">
      <w:pPr>
        <w:pStyle w:val="Default"/>
        <w:numPr>
          <w:ilvl w:val="0"/>
          <w:numId w:val="42"/>
        </w:numPr>
        <w:spacing w:line="276" w:lineRule="auto"/>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4911DE">
      <w:pPr>
        <w:pStyle w:val="ListParagraph"/>
        <w:numPr>
          <w:ilvl w:val="0"/>
          <w:numId w:val="42"/>
        </w:numPr>
        <w:spacing w:after="0"/>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4911DE">
      <w:pPr>
        <w:numPr>
          <w:ilvl w:val="0"/>
          <w:numId w:val="42"/>
        </w:numPr>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4911DE">
      <w:pPr>
        <w:numPr>
          <w:ilvl w:val="0"/>
          <w:numId w:val="42"/>
        </w:numPr>
        <w:contextualSpacing/>
        <w:jc w:val="both"/>
        <w:rPr>
          <w:rFonts w:ascii="Arial" w:hAnsi="Arial" w:cs="Arial"/>
          <w:sz w:val="24"/>
          <w:szCs w:val="24"/>
        </w:rPr>
      </w:pPr>
      <w:r w:rsidRPr="003A45A5">
        <w:rPr>
          <w:rFonts w:ascii="Arial" w:hAnsi="Arial" w:cs="Arial"/>
          <w:sz w:val="24"/>
          <w:szCs w:val="24"/>
        </w:rPr>
        <w:lastRenderedPageBreak/>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4911DE">
      <w:pPr>
        <w:numPr>
          <w:ilvl w:val="0"/>
          <w:numId w:val="42"/>
        </w:numPr>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4911DE">
      <w:pPr>
        <w:numPr>
          <w:ilvl w:val="0"/>
          <w:numId w:val="41"/>
        </w:numPr>
        <w:spacing w:after="0"/>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4911DE">
      <w:pPr>
        <w:numPr>
          <w:ilvl w:val="0"/>
          <w:numId w:val="41"/>
        </w:numPr>
        <w:spacing w:after="0"/>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4911DE">
      <w:pPr>
        <w:numPr>
          <w:ilvl w:val="0"/>
          <w:numId w:val="41"/>
        </w:numPr>
        <w:spacing w:after="0"/>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4911DE">
      <w:pPr>
        <w:numPr>
          <w:ilvl w:val="0"/>
          <w:numId w:val="43"/>
        </w:numPr>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4911DE">
      <w:pPr>
        <w:numPr>
          <w:ilvl w:val="0"/>
          <w:numId w:val="43"/>
        </w:numPr>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4911DE">
      <w:pPr>
        <w:numPr>
          <w:ilvl w:val="0"/>
          <w:numId w:val="43"/>
        </w:numPr>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4911DE">
      <w:pPr>
        <w:numPr>
          <w:ilvl w:val="0"/>
          <w:numId w:val="43"/>
        </w:numPr>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4911DE">
      <w:pPr>
        <w:numPr>
          <w:ilvl w:val="0"/>
          <w:numId w:val="43"/>
        </w:numPr>
        <w:spacing w:after="0"/>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4911DE">
      <w:pPr>
        <w:numPr>
          <w:ilvl w:val="0"/>
          <w:numId w:val="43"/>
        </w:numPr>
        <w:spacing w:after="0"/>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4911DE">
      <w:pPr>
        <w:numPr>
          <w:ilvl w:val="0"/>
          <w:numId w:val="43"/>
        </w:numPr>
        <w:spacing w:after="0"/>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40864AD2" w14:textId="77777777" w:rsidR="0008558A" w:rsidRPr="0008558A" w:rsidRDefault="0008558A" w:rsidP="004911DE">
      <w:pPr>
        <w:numPr>
          <w:ilvl w:val="0"/>
          <w:numId w:val="43"/>
        </w:numPr>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rsidP="004911DE">
      <w:pPr>
        <w:numPr>
          <w:ilvl w:val="0"/>
          <w:numId w:val="43"/>
        </w:numPr>
        <w:contextualSpacing/>
        <w:jc w:val="both"/>
        <w:rPr>
          <w:rFonts w:ascii="Arial" w:hAnsi="Arial" w:cs="Arial"/>
          <w:sz w:val="24"/>
          <w:szCs w:val="24"/>
        </w:rPr>
      </w:pPr>
      <w:r>
        <w:rPr>
          <w:rFonts w:ascii="Arial" w:hAnsi="Arial" w:cs="Arial"/>
          <w:sz w:val="24"/>
          <w:szCs w:val="24"/>
        </w:rPr>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rsidP="004911DE">
      <w:pPr>
        <w:numPr>
          <w:ilvl w:val="0"/>
          <w:numId w:val="43"/>
        </w:numPr>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4911DE">
      <w:pPr>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lastRenderedPageBreak/>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4911DE">
      <w:pPr>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4911DE">
      <w:pPr>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4911DE">
      <w:pPr>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4911DE">
      <w:pPr>
        <w:ind w:firstLine="720"/>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4911DE">
      <w:pPr>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4911DE">
      <w:pPr>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4911DE">
      <w:pPr>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4911DE">
      <w:pPr>
        <w:pStyle w:val="Default"/>
        <w:spacing w:line="276" w:lineRule="auto"/>
        <w:contextualSpacing/>
        <w:jc w:val="both"/>
        <w:rPr>
          <w:rFonts w:ascii="Arial" w:hAnsi="Arial" w:cs="Arial"/>
          <w:color w:val="auto"/>
        </w:rPr>
      </w:pPr>
      <w:r w:rsidRPr="003A45A5">
        <w:rPr>
          <w:rFonts w:ascii="Arial" w:hAnsi="Arial" w:cs="Arial"/>
          <w:color w:val="auto"/>
        </w:rPr>
        <w:lastRenderedPageBreak/>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4911DE">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169DBDC6" w14:textId="337BF566" w:rsidR="004911DE" w:rsidRPr="0062310D" w:rsidRDefault="004911DE" w:rsidP="004911DE">
      <w:pPr>
        <w:spacing w:after="0" w:line="240" w:lineRule="auto"/>
        <w:jc w:val="center"/>
        <w:rPr>
          <w:rFonts w:ascii="Arial" w:hAnsi="Arial" w:cs="Arial"/>
          <w:b/>
          <w:sz w:val="24"/>
          <w:szCs w:val="24"/>
          <w:lang w:val="ro-RO"/>
        </w:rPr>
      </w:pPr>
      <w:r w:rsidRPr="0062310D">
        <w:rPr>
          <w:rFonts w:ascii="Arial" w:hAnsi="Arial" w:cs="Arial"/>
          <w:b/>
          <w:sz w:val="24"/>
          <w:szCs w:val="24"/>
          <w:lang w:val="ro-RO"/>
        </w:rPr>
        <w:t>DIRECTOR EXECUTIV,</w:t>
      </w:r>
    </w:p>
    <w:p w14:paraId="3C86204F" w14:textId="77777777" w:rsidR="004911DE" w:rsidRPr="0062310D" w:rsidRDefault="004911DE" w:rsidP="004911DE">
      <w:pPr>
        <w:spacing w:after="0" w:line="240" w:lineRule="auto"/>
        <w:jc w:val="center"/>
        <w:outlineLvl w:val="0"/>
        <w:rPr>
          <w:rFonts w:ascii="Arial" w:hAnsi="Arial" w:cs="Arial"/>
          <w:b/>
          <w:bCs/>
          <w:sz w:val="24"/>
          <w:szCs w:val="24"/>
          <w:lang w:val="ro-RO"/>
        </w:rPr>
      </w:pPr>
      <w:r w:rsidRPr="0062310D">
        <w:rPr>
          <w:rFonts w:ascii="Arial" w:hAnsi="Arial" w:cs="Arial"/>
          <w:b/>
          <w:bCs/>
          <w:sz w:val="24"/>
          <w:szCs w:val="24"/>
          <w:lang w:val="ro-RO"/>
        </w:rPr>
        <w:t>Alina-Laura POSTEIU</w:t>
      </w:r>
    </w:p>
    <w:p w14:paraId="00924634" w14:textId="77777777" w:rsidR="004911DE" w:rsidRPr="0062310D" w:rsidRDefault="004911DE" w:rsidP="004911DE">
      <w:pPr>
        <w:spacing w:after="0" w:line="240" w:lineRule="auto"/>
        <w:jc w:val="center"/>
        <w:outlineLvl w:val="0"/>
        <w:rPr>
          <w:rFonts w:ascii="Arial" w:hAnsi="Arial" w:cs="Arial"/>
          <w:b/>
          <w:sz w:val="24"/>
          <w:szCs w:val="24"/>
          <w:lang w:val="ro-RO"/>
        </w:rPr>
      </w:pPr>
    </w:p>
    <w:p w14:paraId="069BE1A8" w14:textId="77777777" w:rsidR="004911DE" w:rsidRPr="0062310D" w:rsidRDefault="004911DE" w:rsidP="004911DE">
      <w:pPr>
        <w:spacing w:after="0" w:line="240" w:lineRule="auto"/>
        <w:outlineLvl w:val="0"/>
        <w:rPr>
          <w:rFonts w:ascii="Arial" w:hAnsi="Arial" w:cs="Arial"/>
          <w:b/>
          <w:sz w:val="24"/>
          <w:szCs w:val="24"/>
          <w:lang w:val="ro-RO"/>
        </w:rPr>
      </w:pPr>
    </w:p>
    <w:p w14:paraId="252C9651" w14:textId="77777777" w:rsidR="004911DE" w:rsidRPr="0062310D" w:rsidRDefault="004911DE" w:rsidP="004911DE">
      <w:pPr>
        <w:spacing w:after="0" w:line="240" w:lineRule="auto"/>
        <w:jc w:val="both"/>
        <w:rPr>
          <w:rFonts w:ascii="Arial" w:hAnsi="Arial" w:cs="Arial"/>
          <w:bCs/>
          <w:sz w:val="24"/>
          <w:szCs w:val="24"/>
          <w:lang w:val="ro-RO"/>
        </w:rPr>
      </w:pPr>
      <w:r w:rsidRPr="0062310D">
        <w:rPr>
          <w:rFonts w:ascii="Arial" w:hAnsi="Arial" w:cs="Arial"/>
          <w:bCs/>
          <w:sz w:val="24"/>
          <w:szCs w:val="24"/>
          <w:lang w:val="ro-RO"/>
        </w:rPr>
        <w:t>Șef Serviciu A.A.A.,</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Șef Serviciu C.F.M.,</w:t>
      </w:r>
    </w:p>
    <w:p w14:paraId="3A8F6DD0" w14:textId="77777777" w:rsidR="004911DE" w:rsidRPr="0062310D" w:rsidRDefault="004911DE" w:rsidP="004911DE">
      <w:pPr>
        <w:spacing w:after="0" w:line="240" w:lineRule="auto"/>
        <w:jc w:val="both"/>
        <w:outlineLvl w:val="0"/>
        <w:rPr>
          <w:rFonts w:ascii="Arial" w:hAnsi="Arial" w:cs="Arial"/>
          <w:bCs/>
          <w:sz w:val="24"/>
          <w:szCs w:val="24"/>
          <w:lang w:val="ro-RO"/>
        </w:rPr>
      </w:pPr>
      <w:r w:rsidRPr="0062310D">
        <w:rPr>
          <w:rFonts w:ascii="Arial" w:hAnsi="Arial" w:cs="Arial"/>
          <w:bCs/>
          <w:sz w:val="24"/>
          <w:szCs w:val="24"/>
          <w:lang w:val="ro-RO"/>
        </w:rPr>
        <w:t>Corina Ecaterina NECULA-CIOCHINĂ</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Eliza BODEA</w:t>
      </w:r>
    </w:p>
    <w:p w14:paraId="2B748A96" w14:textId="77777777" w:rsidR="004911DE" w:rsidRPr="0062310D" w:rsidRDefault="004911DE" w:rsidP="004911DE">
      <w:pPr>
        <w:spacing w:after="0" w:line="240" w:lineRule="auto"/>
        <w:jc w:val="both"/>
        <w:outlineLvl w:val="0"/>
        <w:rPr>
          <w:rFonts w:ascii="Arial" w:hAnsi="Arial" w:cs="Arial"/>
          <w:bCs/>
          <w:sz w:val="24"/>
          <w:szCs w:val="24"/>
          <w:lang w:val="ro-RO"/>
        </w:rPr>
      </w:pPr>
    </w:p>
    <w:p w14:paraId="30F55956" w14:textId="77777777" w:rsidR="004911DE" w:rsidRPr="0062310D" w:rsidRDefault="004911DE" w:rsidP="004911DE">
      <w:pPr>
        <w:spacing w:after="0" w:line="240" w:lineRule="auto"/>
        <w:jc w:val="both"/>
        <w:outlineLvl w:val="0"/>
        <w:rPr>
          <w:rFonts w:ascii="Arial" w:hAnsi="Arial" w:cs="Arial"/>
          <w:bCs/>
          <w:i/>
          <w:sz w:val="24"/>
          <w:szCs w:val="24"/>
          <w:lang w:val="ro-RO"/>
        </w:rPr>
      </w:pP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p>
    <w:p w14:paraId="4F70FE99" w14:textId="77777777" w:rsidR="004911DE" w:rsidRPr="0062310D" w:rsidRDefault="004911DE" w:rsidP="004911DE">
      <w:pPr>
        <w:spacing w:after="0" w:line="240" w:lineRule="auto"/>
        <w:jc w:val="both"/>
        <w:rPr>
          <w:rFonts w:ascii="Arial" w:hAnsi="Arial" w:cs="Arial"/>
          <w:bCs/>
          <w:sz w:val="24"/>
          <w:szCs w:val="24"/>
          <w:lang w:val="ro-RO"/>
        </w:rPr>
      </w:pPr>
      <w:r w:rsidRPr="0062310D">
        <w:rPr>
          <w:rFonts w:ascii="Arial" w:hAnsi="Arial" w:cs="Arial"/>
          <w:bCs/>
          <w:sz w:val="24"/>
          <w:szCs w:val="24"/>
          <w:lang w:val="ro-RO"/>
        </w:rPr>
        <w:t xml:space="preserve">Întocmit, </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Întocmit,</w:t>
      </w:r>
    </w:p>
    <w:p w14:paraId="710AE8FD" w14:textId="6C64B423" w:rsidR="007D5953" w:rsidRPr="003A45A5" w:rsidRDefault="004911DE" w:rsidP="004911DE">
      <w:pPr>
        <w:pStyle w:val="Char"/>
        <w:rPr>
          <w:rFonts w:ascii="Arial" w:hAnsi="Arial" w:cs="Arial"/>
          <w:bCs/>
          <w:lang w:val="ro-RO"/>
        </w:rPr>
      </w:pPr>
      <w:r w:rsidRPr="0062310D">
        <w:rPr>
          <w:rFonts w:ascii="Arial" w:hAnsi="Arial" w:cs="Arial"/>
          <w:bCs/>
          <w:lang w:val="ro-RO"/>
        </w:rPr>
        <w:t xml:space="preserve">Consilier Ciprian STANCIU     </w:t>
      </w:r>
      <w:r w:rsidRPr="0062310D">
        <w:rPr>
          <w:rFonts w:ascii="Arial" w:hAnsi="Arial" w:cs="Arial"/>
          <w:bCs/>
          <w:lang w:val="ro-RO"/>
        </w:rPr>
        <w:tab/>
      </w:r>
      <w:r w:rsidRPr="0062310D">
        <w:rPr>
          <w:rFonts w:ascii="Arial" w:hAnsi="Arial" w:cs="Arial"/>
          <w:bCs/>
          <w:lang w:val="ro-RO"/>
        </w:rPr>
        <w:tab/>
        <w:t xml:space="preserve">                     Consilier superior </w:t>
      </w:r>
      <w:r>
        <w:rPr>
          <w:rFonts w:ascii="Arial" w:hAnsi="Arial" w:cs="Arial"/>
          <w:bCs/>
          <w:lang w:val="ro-RO"/>
        </w:rPr>
        <w:t>Mihai Stoica</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56F7" w14:textId="77777777" w:rsidR="00033EE2" w:rsidRDefault="00033EE2" w:rsidP="0010560A">
      <w:pPr>
        <w:spacing w:after="0" w:line="240" w:lineRule="auto"/>
      </w:pPr>
      <w:r>
        <w:separator/>
      </w:r>
    </w:p>
  </w:endnote>
  <w:endnote w:type="continuationSeparator" w:id="0">
    <w:p w14:paraId="33B389FD" w14:textId="77777777" w:rsidR="00033EE2" w:rsidRDefault="00033EE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2B61DF97" w:rsidR="00D44574" w:rsidRPr="00FB3F3F" w:rsidRDefault="002361A8"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7F34E5D4">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38058527" r:id="rId2"/>
      </w:pict>
    </w:r>
    <w:r w:rsidR="00D44574" w:rsidRPr="00FB3F3F">
      <w:rPr>
        <w:rFonts w:ascii="Times New Roman" w:hAnsi="Times New Roman"/>
        <w:b/>
        <w:sz w:val="24"/>
        <w:szCs w:val="24"/>
      </w:rPr>
      <w:t>AGEN</w:t>
    </w:r>
    <w:r w:rsidR="00D44574" w:rsidRPr="00FB3F3F">
      <w:rPr>
        <w:rFonts w:ascii="Times New Roman" w:hAnsi="Times New Roman"/>
        <w:b/>
        <w:sz w:val="24"/>
        <w:szCs w:val="24"/>
        <w:lang w:val="ro-RO"/>
      </w:rPr>
      <w:t>ŢIA PENTRU PROTECŢIA MEDIULUI ILFOV</w:t>
    </w:r>
  </w:p>
  <w:p w14:paraId="508253EB" w14:textId="77777777" w:rsidR="00D44574" w:rsidRPr="00FB3F3F" w:rsidRDefault="00D44574"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D44574" w:rsidRDefault="00D44574"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44574" w:rsidRPr="003D79F6" w14:paraId="7481ECAD" w14:textId="77777777" w:rsidTr="00B05FFC">
      <w:tc>
        <w:tcPr>
          <w:tcW w:w="8370" w:type="dxa"/>
          <w:shd w:val="clear" w:color="auto" w:fill="auto"/>
        </w:tcPr>
        <w:p w14:paraId="7923FBDB" w14:textId="77777777" w:rsidR="00D44574" w:rsidRPr="003D79F6" w:rsidRDefault="00D44574"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D44574" w:rsidRPr="002367AC" w:rsidRDefault="00D44574"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9583" w14:textId="77777777" w:rsidR="00033EE2" w:rsidRDefault="00033EE2" w:rsidP="0010560A">
      <w:pPr>
        <w:spacing w:after="0" w:line="240" w:lineRule="auto"/>
      </w:pPr>
      <w:r>
        <w:separator/>
      </w:r>
    </w:p>
  </w:footnote>
  <w:footnote w:type="continuationSeparator" w:id="0">
    <w:p w14:paraId="109501E7" w14:textId="77777777" w:rsidR="00033EE2" w:rsidRDefault="00033EE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27EED058" w:rsidR="00FA2C50" w:rsidRDefault="002361A8">
    <w:pPr>
      <w:pStyle w:val="Header"/>
    </w:pPr>
    <w:r>
      <w:rPr>
        <w:noProof/>
      </w:rPr>
      <mc:AlternateContent>
        <mc:Choice Requires="wps">
          <w:drawing>
            <wp:anchor distT="0" distB="0" distL="114300" distR="114300" simplePos="0" relativeHeight="251657728" behindDoc="0" locked="0" layoutInCell="0" allowOverlap="1" wp14:anchorId="4472E58F" wp14:editId="49ED1942">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FA2C50" w:rsidRPr="00FA2C50" w:rsidRDefault="00FA2C50">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2361A8" w:rsidRPr="002361A8">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FA2C50" w:rsidRPr="00FA2C50" w:rsidRDefault="00FA2C50">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2361A8" w:rsidRPr="002361A8">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105B"/>
    <w:multiLevelType w:val="hybridMultilevel"/>
    <w:tmpl w:val="3D1E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30ECA"/>
    <w:multiLevelType w:val="hybridMultilevel"/>
    <w:tmpl w:val="374CB9F0"/>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F383B"/>
    <w:multiLevelType w:val="hybridMultilevel"/>
    <w:tmpl w:val="F7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6"/>
  </w:num>
  <w:num w:numId="4">
    <w:abstractNumId w:val="10"/>
  </w:num>
  <w:num w:numId="5">
    <w:abstractNumId w:val="3"/>
  </w:num>
  <w:num w:numId="6">
    <w:abstractNumId w:val="9"/>
  </w:num>
  <w:num w:numId="7">
    <w:abstractNumId w:val="13"/>
  </w:num>
  <w:num w:numId="8">
    <w:abstractNumId w:val="0"/>
  </w:num>
  <w:num w:numId="9">
    <w:abstractNumId w:val="32"/>
  </w:num>
  <w:num w:numId="10">
    <w:abstractNumId w:val="33"/>
  </w:num>
  <w:num w:numId="11">
    <w:abstractNumId w:val="46"/>
  </w:num>
  <w:num w:numId="12">
    <w:abstractNumId w:val="38"/>
  </w:num>
  <w:num w:numId="13">
    <w:abstractNumId w:val="21"/>
  </w:num>
  <w:num w:numId="14">
    <w:abstractNumId w:val="48"/>
  </w:num>
  <w:num w:numId="15">
    <w:abstractNumId w:val="3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0"/>
  </w:num>
  <w:num w:numId="22">
    <w:abstractNumId w:val="43"/>
  </w:num>
  <w:num w:numId="23">
    <w:abstractNumId w:val="28"/>
  </w:num>
  <w:num w:numId="24">
    <w:abstractNumId w:val="4"/>
  </w:num>
  <w:num w:numId="25">
    <w:abstractNumId w:val="42"/>
  </w:num>
  <w:num w:numId="26">
    <w:abstractNumId w:val="12"/>
  </w:num>
  <w:num w:numId="27">
    <w:abstractNumId w:val="5"/>
  </w:num>
  <w:num w:numId="28">
    <w:abstractNumId w:val="27"/>
  </w:num>
  <w:num w:numId="29">
    <w:abstractNumId w:val="1"/>
  </w:num>
  <w:num w:numId="30">
    <w:abstractNumId w:val="47"/>
  </w:num>
  <w:num w:numId="31">
    <w:abstractNumId w:val="14"/>
  </w:num>
  <w:num w:numId="32">
    <w:abstractNumId w:val="19"/>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25"/>
  </w:num>
  <w:num w:numId="38">
    <w:abstractNumId w:val="41"/>
  </w:num>
  <w:num w:numId="39">
    <w:abstractNumId w:val="8"/>
  </w:num>
  <w:num w:numId="40">
    <w:abstractNumId w:val="24"/>
  </w:num>
  <w:num w:numId="41">
    <w:abstractNumId w:val="22"/>
  </w:num>
  <w:num w:numId="42">
    <w:abstractNumId w:val="23"/>
  </w:num>
  <w:num w:numId="43">
    <w:abstractNumId w:val="6"/>
  </w:num>
  <w:num w:numId="44">
    <w:abstractNumId w:val="18"/>
  </w:num>
  <w:num w:numId="45">
    <w:abstractNumId w:val="29"/>
  </w:num>
  <w:num w:numId="46">
    <w:abstractNumId w:val="35"/>
  </w:num>
  <w:num w:numId="47">
    <w:abstractNumId w:val="49"/>
  </w:num>
  <w:num w:numId="48">
    <w:abstractNumId w:val="44"/>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1"/>
      <o:rules v:ext="edit">
        <o:r id="V:Rule2" type="connector" idref="#_x0000_s102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3EE2"/>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03C"/>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80000"/>
    <w:rsid w:val="00180386"/>
    <w:rsid w:val="00182E4A"/>
    <w:rsid w:val="0018379B"/>
    <w:rsid w:val="00194742"/>
    <w:rsid w:val="00194A57"/>
    <w:rsid w:val="0019554F"/>
    <w:rsid w:val="001A11F4"/>
    <w:rsid w:val="001A2AC1"/>
    <w:rsid w:val="001A64FD"/>
    <w:rsid w:val="001B0834"/>
    <w:rsid w:val="001B191E"/>
    <w:rsid w:val="001B19D7"/>
    <w:rsid w:val="001B203B"/>
    <w:rsid w:val="001C00FD"/>
    <w:rsid w:val="001C1B2F"/>
    <w:rsid w:val="001C1EC5"/>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6333"/>
    <w:rsid w:val="00211649"/>
    <w:rsid w:val="002154D4"/>
    <w:rsid w:val="00216259"/>
    <w:rsid w:val="00216360"/>
    <w:rsid w:val="002176F5"/>
    <w:rsid w:val="00222446"/>
    <w:rsid w:val="00226598"/>
    <w:rsid w:val="00227DCC"/>
    <w:rsid w:val="00232324"/>
    <w:rsid w:val="00235092"/>
    <w:rsid w:val="002361A8"/>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6CAB"/>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6E02"/>
    <w:rsid w:val="00327C84"/>
    <w:rsid w:val="003306BD"/>
    <w:rsid w:val="003319AB"/>
    <w:rsid w:val="00331EE8"/>
    <w:rsid w:val="00334DE6"/>
    <w:rsid w:val="0033682D"/>
    <w:rsid w:val="003404FC"/>
    <w:rsid w:val="0034615F"/>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2B9"/>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3F7450"/>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8519A"/>
    <w:rsid w:val="004911DE"/>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36AA"/>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278C8"/>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B12"/>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450"/>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77E19"/>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2618"/>
    <w:rsid w:val="00F3436F"/>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5AFD-8340-4654-898D-6C89C3CD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25209</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2</cp:revision>
  <cp:lastPrinted>2022-07-25T11:00:00Z</cp:lastPrinted>
  <dcterms:created xsi:type="dcterms:W3CDTF">2023-02-16T11:16:00Z</dcterms:created>
  <dcterms:modified xsi:type="dcterms:W3CDTF">2023-02-16T11:16:00Z</dcterms:modified>
</cp:coreProperties>
</file>